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2F64" w14:textId="77777777" w:rsidR="000552BF" w:rsidRPr="002D0C74" w:rsidRDefault="000552BF" w:rsidP="000552BF">
      <w:pPr>
        <w:jc w:val="center"/>
        <w:rPr>
          <w:rFonts w:ascii="Trebuchet MS" w:hAnsi="Trebuchet MS"/>
          <w:b/>
          <w:sz w:val="28"/>
          <w:szCs w:val="28"/>
        </w:rPr>
      </w:pPr>
      <w:r w:rsidRPr="002D0C74">
        <w:rPr>
          <w:rFonts w:ascii="Trebuchet MS" w:hAnsi="Trebuchet MS"/>
          <w:b/>
          <w:sz w:val="28"/>
          <w:szCs w:val="28"/>
        </w:rPr>
        <w:t>Dichiarazione resa dai componenti delle Commissioni attestante l’assenza di condanne penali e di situazioni di conflitto di interesse</w:t>
      </w:r>
    </w:p>
    <w:p w14:paraId="5AF0F30E" w14:textId="77777777" w:rsidR="000552BF" w:rsidRPr="002D0C74" w:rsidRDefault="000552BF" w:rsidP="000552BF">
      <w:pPr>
        <w:spacing w:after="0"/>
        <w:jc w:val="center"/>
        <w:rPr>
          <w:rFonts w:ascii="Trebuchet MS" w:hAnsi="Trebuchet MS"/>
          <w:b/>
        </w:rPr>
      </w:pPr>
      <w:r w:rsidRPr="002D0C74">
        <w:rPr>
          <w:rFonts w:ascii="Trebuchet MS" w:hAnsi="Trebuchet MS"/>
          <w:b/>
        </w:rPr>
        <w:t xml:space="preserve">DICHIARAZIONE SOSTITUTIVA DELL’ATTO DI NOTORIETA’ </w:t>
      </w:r>
    </w:p>
    <w:p w14:paraId="68A95738" w14:textId="77777777" w:rsidR="000552BF" w:rsidRPr="002D0C74" w:rsidRDefault="000552BF" w:rsidP="000552BF">
      <w:pPr>
        <w:spacing w:after="0"/>
        <w:jc w:val="center"/>
        <w:rPr>
          <w:rFonts w:ascii="Trebuchet MS" w:hAnsi="Trebuchet MS"/>
          <w:b/>
        </w:rPr>
      </w:pPr>
      <w:r w:rsidRPr="002D0C74">
        <w:rPr>
          <w:rFonts w:ascii="Trebuchet MS" w:hAnsi="Trebuchet MS"/>
          <w:b/>
        </w:rPr>
        <w:t xml:space="preserve">(art. 47 D.P.R. 28 dicembre 2000, n. 445) </w:t>
      </w:r>
    </w:p>
    <w:p w14:paraId="4383F834" w14:textId="77777777" w:rsidR="00831C11" w:rsidRPr="002D0C74" w:rsidRDefault="00831C11" w:rsidP="000552BF">
      <w:pPr>
        <w:jc w:val="both"/>
        <w:rPr>
          <w:rFonts w:ascii="Trebuchet MS" w:hAnsi="Trebuchet MS"/>
        </w:rPr>
      </w:pPr>
    </w:p>
    <w:p w14:paraId="38D5BC35" w14:textId="77777777" w:rsidR="000552BF" w:rsidRPr="002D0C74" w:rsidRDefault="000552BF" w:rsidP="000552BF">
      <w:pPr>
        <w:jc w:val="both"/>
        <w:rPr>
          <w:rFonts w:ascii="Trebuchet MS" w:hAnsi="Trebuchet MS"/>
        </w:rPr>
      </w:pPr>
      <w:r w:rsidRPr="002D0C74">
        <w:rPr>
          <w:rFonts w:ascii="Trebuchet MS" w:hAnsi="Trebuchet MS"/>
        </w:rPr>
        <w:t>Procedura di</w:t>
      </w:r>
      <w:r w:rsidR="003F627C" w:rsidRPr="002D0C74">
        <w:rPr>
          <w:rFonts w:ascii="Trebuchet MS" w:hAnsi="Trebuchet MS"/>
        </w:rPr>
        <w:t xml:space="preserve"> incarichi di collaborazione per il conferimento di un inca</w:t>
      </w:r>
      <w:r w:rsidR="00AB33BD" w:rsidRPr="002D0C74">
        <w:rPr>
          <w:rFonts w:ascii="Trebuchet MS" w:hAnsi="Trebuchet MS"/>
        </w:rPr>
        <w:t>r</w:t>
      </w:r>
      <w:r w:rsidR="003F627C" w:rsidRPr="002D0C74">
        <w:rPr>
          <w:rFonts w:ascii="Trebuchet MS" w:hAnsi="Trebuchet MS"/>
        </w:rPr>
        <w:t xml:space="preserve">ico di </w:t>
      </w:r>
      <w:r w:rsidR="000E5707" w:rsidRPr="002D0C74">
        <w:rPr>
          <w:rFonts w:ascii="Trebuchet MS" w:hAnsi="Trebuchet MS"/>
        </w:rPr>
        <w:t>________________________________________</w:t>
      </w:r>
      <w:r w:rsidR="003F627C" w:rsidRPr="002D0C74">
        <w:rPr>
          <w:rFonts w:ascii="Trebuchet MS" w:hAnsi="Trebuchet MS"/>
        </w:rPr>
        <w:t xml:space="preserve">, a favore </w:t>
      </w:r>
      <w:r w:rsidR="000E5707" w:rsidRPr="002D0C74">
        <w:rPr>
          <w:rFonts w:ascii="Trebuchet MS" w:hAnsi="Trebuchet MS"/>
        </w:rPr>
        <w:t>del Dipartimento___________________________________</w:t>
      </w:r>
    </w:p>
    <w:p w14:paraId="7AA20482" w14:textId="77777777" w:rsidR="00831C11" w:rsidRPr="002D0C74" w:rsidRDefault="00831C11" w:rsidP="00C16849">
      <w:pPr>
        <w:spacing w:after="120"/>
        <w:rPr>
          <w:rFonts w:ascii="Trebuchet MS" w:hAnsi="Trebuchet MS"/>
        </w:rPr>
      </w:pPr>
    </w:p>
    <w:p w14:paraId="3493E577" w14:textId="77777777" w:rsidR="000552BF" w:rsidRPr="002D0C74" w:rsidRDefault="00C16849" w:rsidP="006677EA">
      <w:pPr>
        <w:spacing w:after="120"/>
        <w:rPr>
          <w:rFonts w:ascii="Trebuchet MS" w:hAnsi="Trebuchet MS"/>
        </w:rPr>
      </w:pPr>
      <w:r w:rsidRPr="002D0C74">
        <w:rPr>
          <w:rFonts w:ascii="Trebuchet MS" w:hAnsi="Trebuchet MS"/>
        </w:rPr>
        <w:t>Il/la sottoscritto/a ____________________________</w:t>
      </w:r>
      <w:r w:rsidR="002D0C74">
        <w:rPr>
          <w:rFonts w:ascii="Trebuchet MS" w:hAnsi="Trebuchet MS"/>
        </w:rPr>
        <w:t>Prof./Dott. __________________________presso l’</w:t>
      </w:r>
      <w:r w:rsidR="00151742" w:rsidRPr="002D0C74">
        <w:rPr>
          <w:rFonts w:ascii="Trebuchet MS" w:hAnsi="Trebuchet MS"/>
        </w:rPr>
        <w:t>U</w:t>
      </w:r>
      <w:r w:rsidRPr="002D0C74">
        <w:rPr>
          <w:rFonts w:ascii="Trebuchet MS" w:hAnsi="Trebuchet MS"/>
        </w:rPr>
        <w:t xml:space="preserve">niversità_______________________________________, nato/a </w:t>
      </w:r>
      <w:proofErr w:type="spellStart"/>
      <w:r w:rsidRPr="002D0C74">
        <w:rPr>
          <w:rFonts w:ascii="Trebuchet MS" w:hAnsi="Trebuchet MS"/>
        </w:rPr>
        <w:t>a</w:t>
      </w:r>
      <w:proofErr w:type="spellEnd"/>
      <w:r w:rsidRPr="002D0C74">
        <w:rPr>
          <w:rFonts w:ascii="Trebuchet MS" w:hAnsi="Trebuchet MS"/>
        </w:rPr>
        <w:t>______________</w:t>
      </w:r>
      <w:r w:rsidR="00151742" w:rsidRPr="002D0C74">
        <w:rPr>
          <w:rFonts w:ascii="Trebuchet MS" w:hAnsi="Trebuchet MS"/>
        </w:rPr>
        <w:t xml:space="preserve"> </w:t>
      </w:r>
      <w:r w:rsidRPr="002D0C74">
        <w:rPr>
          <w:rFonts w:ascii="Trebuchet MS" w:hAnsi="Trebuchet MS"/>
        </w:rPr>
        <w:t>il_____________</w:t>
      </w:r>
      <w:r w:rsidR="00C658B9" w:rsidRPr="002D0C74">
        <w:rPr>
          <w:rFonts w:ascii="Trebuchet MS" w:hAnsi="Trebuchet MS"/>
        </w:rPr>
        <w:t>___</w:t>
      </w:r>
      <w:r w:rsidRPr="002D0C74">
        <w:rPr>
          <w:rFonts w:ascii="Trebuchet MS" w:hAnsi="Trebuchet MS"/>
        </w:rPr>
        <w:t xml:space="preserve">, </w:t>
      </w:r>
    </w:p>
    <w:p w14:paraId="28D6D1FC" w14:textId="77777777" w:rsidR="000552BF" w:rsidRPr="002D0C74" w:rsidRDefault="00C16849" w:rsidP="000552BF">
      <w:pPr>
        <w:jc w:val="both"/>
        <w:rPr>
          <w:rFonts w:ascii="Trebuchet MS" w:hAnsi="Trebuchet MS"/>
        </w:rPr>
      </w:pPr>
      <w:r w:rsidRPr="002D0C74">
        <w:rPr>
          <w:rFonts w:ascii="Trebuchet MS" w:hAnsi="Trebuchet MS"/>
        </w:rPr>
        <w:t>nominato a far parte della Commissione nell’ambito della procedura indicata in epigrafe</w:t>
      </w:r>
      <w:r w:rsidR="006677EA" w:rsidRPr="002D0C74">
        <w:rPr>
          <w:rFonts w:ascii="Trebuchet MS" w:hAnsi="Trebuchet MS"/>
        </w:rPr>
        <w:t>. C</w:t>
      </w:r>
      <w:r w:rsidR="000552BF" w:rsidRPr="002D0C74">
        <w:rPr>
          <w:rFonts w:ascii="Trebuchet MS" w:hAnsi="Trebuchet MS"/>
        </w:rPr>
        <w:t>onsapevole delle sanzioni penali, nel caso di dichiarazioni non veritiere, di formazione o uso di atti falsi, richiamate dall’art. 76 del D.P.R. 28</w:t>
      </w:r>
      <w:r w:rsidRPr="002D0C74">
        <w:rPr>
          <w:rFonts w:ascii="Trebuchet MS" w:hAnsi="Trebuchet MS"/>
        </w:rPr>
        <w:t>.</w:t>
      </w:r>
      <w:r w:rsidR="000552BF" w:rsidRPr="002D0C74">
        <w:rPr>
          <w:rFonts w:ascii="Trebuchet MS" w:hAnsi="Trebuchet MS"/>
        </w:rPr>
        <w:t>12</w:t>
      </w:r>
      <w:r w:rsidRPr="002D0C74">
        <w:rPr>
          <w:rFonts w:ascii="Trebuchet MS" w:hAnsi="Trebuchet MS"/>
        </w:rPr>
        <w:t>.</w:t>
      </w:r>
      <w:r w:rsidR="000552BF" w:rsidRPr="002D0C74">
        <w:rPr>
          <w:rFonts w:ascii="Trebuchet MS" w:hAnsi="Trebuchet MS"/>
        </w:rPr>
        <w:t xml:space="preserve">2000 n. 445, </w:t>
      </w:r>
    </w:p>
    <w:p w14:paraId="54427C86" w14:textId="77777777" w:rsidR="000552BF" w:rsidRPr="002D0C74" w:rsidRDefault="000552BF" w:rsidP="000552BF">
      <w:pPr>
        <w:jc w:val="center"/>
        <w:rPr>
          <w:rFonts w:ascii="Trebuchet MS" w:hAnsi="Trebuchet MS"/>
          <w:b/>
        </w:rPr>
      </w:pPr>
      <w:r w:rsidRPr="002D0C74">
        <w:rPr>
          <w:rFonts w:ascii="Trebuchet MS" w:hAnsi="Trebuchet MS"/>
          <w:b/>
        </w:rPr>
        <w:t>DICHIARA</w:t>
      </w:r>
    </w:p>
    <w:p w14:paraId="15B00191" w14:textId="77777777" w:rsidR="000552BF" w:rsidRPr="002D0C74" w:rsidRDefault="000552BF" w:rsidP="000552BF">
      <w:pPr>
        <w:pStyle w:val="Paragrafoelenco"/>
        <w:numPr>
          <w:ilvl w:val="0"/>
          <w:numId w:val="2"/>
        </w:numPr>
        <w:spacing w:after="240" w:line="360" w:lineRule="auto"/>
        <w:ind w:left="714" w:hanging="357"/>
        <w:jc w:val="both"/>
        <w:rPr>
          <w:rFonts w:ascii="Trebuchet MS" w:hAnsi="Trebuchet MS"/>
        </w:rPr>
      </w:pPr>
      <w:r w:rsidRPr="002D0C74">
        <w:rPr>
          <w:rFonts w:ascii="Trebuchet MS" w:hAnsi="Trebuchet MS"/>
        </w:rPr>
        <w:t>di non essere stato condannato, anche con sentenza non passata in giudicato, per i reati contro la Pubblica Amministrazione previsti nel Titolo II, Capo I, del codice penale (art. 35</w:t>
      </w:r>
      <w:r w:rsidR="00C16849" w:rsidRPr="002D0C74">
        <w:rPr>
          <w:rFonts w:ascii="Trebuchet MS" w:hAnsi="Trebuchet MS"/>
        </w:rPr>
        <w:t>-</w:t>
      </w:r>
      <w:r w:rsidRPr="002D0C74">
        <w:rPr>
          <w:rFonts w:ascii="Trebuchet MS" w:hAnsi="Trebuchet MS"/>
        </w:rPr>
        <w:t>bis</w:t>
      </w:r>
      <w:r w:rsidR="00C16849" w:rsidRPr="002D0C74">
        <w:rPr>
          <w:rFonts w:ascii="Trebuchet MS" w:hAnsi="Trebuchet MS"/>
        </w:rPr>
        <w:t xml:space="preserve"> del D.lgs. 165/2001</w:t>
      </w:r>
      <w:r w:rsidR="00564EC0" w:rsidRPr="002D0C74">
        <w:rPr>
          <w:rFonts w:ascii="Trebuchet MS" w:hAnsi="Trebuchet MS"/>
          <w:sz w:val="16"/>
          <w:szCs w:val="16"/>
          <w:vertAlign w:val="superscript"/>
        </w:rPr>
        <w:t>1</w:t>
      </w:r>
      <w:r w:rsidR="00C16849" w:rsidRPr="002D0C74">
        <w:rPr>
          <w:rFonts w:ascii="Trebuchet MS" w:hAnsi="Trebuchet MS"/>
        </w:rPr>
        <w:t>);</w:t>
      </w:r>
    </w:p>
    <w:p w14:paraId="490A5206" w14:textId="77777777" w:rsidR="00C16849" w:rsidRPr="002D0C74" w:rsidRDefault="00C16849" w:rsidP="000552BF">
      <w:pPr>
        <w:pStyle w:val="Paragrafoelenco"/>
        <w:numPr>
          <w:ilvl w:val="0"/>
          <w:numId w:val="2"/>
        </w:numPr>
        <w:spacing w:after="240" w:line="360" w:lineRule="auto"/>
        <w:ind w:left="714" w:hanging="357"/>
        <w:jc w:val="both"/>
        <w:rPr>
          <w:rFonts w:ascii="Trebuchet MS" w:hAnsi="Trebuchet MS"/>
        </w:rPr>
      </w:pPr>
      <w:r w:rsidRPr="002D0C74">
        <w:rPr>
          <w:rFonts w:ascii="Trebuchet MS" w:hAnsi="Trebuchet MS"/>
        </w:rPr>
        <w:t xml:space="preserve">di non </w:t>
      </w:r>
      <w:r w:rsidR="00142B80" w:rsidRPr="002D0C74">
        <w:rPr>
          <w:rFonts w:ascii="Trebuchet MS" w:hAnsi="Trebuchet MS"/>
        </w:rPr>
        <w:t>avere</w:t>
      </w:r>
      <w:r w:rsidRPr="002D0C74">
        <w:rPr>
          <w:rFonts w:ascii="Trebuchet MS" w:hAnsi="Trebuchet MS"/>
        </w:rPr>
        <w:t>, rispetto agli altri membri della Commissione e rispetto ai candidati, del cui elenco h</w:t>
      </w:r>
      <w:r w:rsidR="00142B80" w:rsidRPr="002D0C74">
        <w:rPr>
          <w:rFonts w:ascii="Trebuchet MS" w:hAnsi="Trebuchet MS"/>
        </w:rPr>
        <w:t>a</w:t>
      </w:r>
      <w:r w:rsidRPr="002D0C74">
        <w:rPr>
          <w:rFonts w:ascii="Trebuchet MS" w:hAnsi="Trebuchet MS"/>
        </w:rPr>
        <w:t xml:space="preserve"> preso visione, </w:t>
      </w:r>
      <w:r w:rsidR="00142B80" w:rsidRPr="002D0C74">
        <w:rPr>
          <w:rFonts w:ascii="Trebuchet MS" w:hAnsi="Trebuchet MS"/>
        </w:rPr>
        <w:t>rapporti di parentela o affinità</w:t>
      </w:r>
      <w:r w:rsidRPr="002D0C74">
        <w:rPr>
          <w:rFonts w:ascii="Trebuchet MS" w:hAnsi="Trebuchet MS"/>
        </w:rPr>
        <w:t xml:space="preserve"> fino al quarto grado incluso ai sensi dell’art. 4 del d.lgs. 1172/1948</w:t>
      </w:r>
      <w:r w:rsidR="00564EC0" w:rsidRPr="002D0C74">
        <w:rPr>
          <w:rFonts w:ascii="Trebuchet MS" w:hAnsi="Trebuchet MS"/>
          <w:sz w:val="16"/>
          <w:szCs w:val="16"/>
          <w:vertAlign w:val="superscript"/>
        </w:rPr>
        <w:t>2</w:t>
      </w:r>
      <w:r w:rsidR="00E23B7C" w:rsidRPr="002D0C74">
        <w:rPr>
          <w:rFonts w:ascii="Trebuchet MS" w:hAnsi="Trebuchet MS"/>
        </w:rPr>
        <w:t>;</w:t>
      </w:r>
    </w:p>
    <w:p w14:paraId="1A461DC1" w14:textId="009C666B" w:rsidR="003A12A0" w:rsidRPr="002D0C74" w:rsidRDefault="00E23B7C" w:rsidP="003A12A0">
      <w:pPr>
        <w:pStyle w:val="Paragrafoelenco"/>
        <w:numPr>
          <w:ilvl w:val="0"/>
          <w:numId w:val="2"/>
        </w:numPr>
        <w:spacing w:after="0" w:line="360" w:lineRule="auto"/>
        <w:ind w:left="709" w:hanging="425"/>
        <w:jc w:val="both"/>
        <w:rPr>
          <w:rFonts w:ascii="Trebuchet MS" w:hAnsi="Trebuchet MS"/>
        </w:rPr>
      </w:pPr>
      <w:r w:rsidRPr="003A12A0">
        <w:rPr>
          <w:rFonts w:ascii="Trebuchet MS" w:hAnsi="Trebuchet MS"/>
        </w:rPr>
        <w:t>di non trovar</w:t>
      </w:r>
      <w:r w:rsidR="00142B80" w:rsidRPr="003A12A0">
        <w:rPr>
          <w:rFonts w:ascii="Trebuchet MS" w:hAnsi="Trebuchet MS"/>
        </w:rPr>
        <w:t>s</w:t>
      </w:r>
      <w:r w:rsidRPr="003A12A0">
        <w:rPr>
          <w:rFonts w:ascii="Trebuchet MS" w:hAnsi="Trebuchet MS"/>
        </w:rPr>
        <w:t>i in alcuna situazione di conflitto di interesse</w:t>
      </w:r>
      <w:r w:rsidR="00A01F17" w:rsidRPr="003A12A0">
        <w:rPr>
          <w:rFonts w:ascii="Trebuchet MS" w:hAnsi="Trebuchet MS"/>
        </w:rPr>
        <w:t xml:space="preserve"> con i candidati</w:t>
      </w:r>
      <w:r w:rsidR="007B23D0" w:rsidRPr="003A12A0">
        <w:rPr>
          <w:rFonts w:ascii="Trebuchet MS" w:hAnsi="Trebuchet MS"/>
        </w:rPr>
        <w:t xml:space="preserve"> ai sensi della legge </w:t>
      </w:r>
      <w:r w:rsidR="00142B80" w:rsidRPr="003A12A0">
        <w:rPr>
          <w:rFonts w:ascii="Trebuchet MS" w:hAnsi="Trebuchet MS"/>
        </w:rPr>
        <w:t>della legge 241/1990, art. 6 bis</w:t>
      </w:r>
      <w:r w:rsidR="00564EC0" w:rsidRPr="003A12A0">
        <w:rPr>
          <w:rFonts w:ascii="Trebuchet MS" w:hAnsi="Trebuchet MS"/>
          <w:sz w:val="16"/>
          <w:szCs w:val="16"/>
          <w:vertAlign w:val="superscript"/>
        </w:rPr>
        <w:t>3</w:t>
      </w:r>
      <w:r w:rsidR="00142B80" w:rsidRPr="003A12A0">
        <w:rPr>
          <w:rFonts w:ascii="Trebuchet MS" w:hAnsi="Trebuchet MS"/>
        </w:rPr>
        <w:t xml:space="preserve">, introdotto </w:t>
      </w:r>
      <w:r w:rsidR="006677EA" w:rsidRPr="003A12A0">
        <w:rPr>
          <w:rFonts w:ascii="Trebuchet MS" w:hAnsi="Trebuchet MS"/>
        </w:rPr>
        <w:t>dalla legge</w:t>
      </w:r>
      <w:r w:rsidR="00142B80" w:rsidRPr="003A12A0">
        <w:rPr>
          <w:rFonts w:ascii="Trebuchet MS" w:hAnsi="Trebuchet MS"/>
        </w:rPr>
        <w:t xml:space="preserve"> </w:t>
      </w:r>
      <w:r w:rsidR="007B23D0" w:rsidRPr="003A12A0">
        <w:rPr>
          <w:rFonts w:ascii="Trebuchet MS" w:hAnsi="Trebuchet MS"/>
        </w:rPr>
        <w:t>190/2012 e del DPR 62/2013</w:t>
      </w:r>
      <w:r w:rsidR="00142B80" w:rsidRPr="003A12A0">
        <w:rPr>
          <w:rFonts w:ascii="Trebuchet MS" w:hAnsi="Trebuchet MS"/>
        </w:rPr>
        <w:t>, art. 7</w:t>
      </w:r>
      <w:r w:rsidR="00564EC0" w:rsidRPr="003A12A0">
        <w:rPr>
          <w:rFonts w:ascii="Trebuchet MS" w:hAnsi="Trebuchet MS"/>
          <w:sz w:val="16"/>
          <w:szCs w:val="16"/>
          <w:vertAlign w:val="superscript"/>
        </w:rPr>
        <w:t>4</w:t>
      </w:r>
      <w:r w:rsidR="000552BF" w:rsidRPr="003A12A0">
        <w:rPr>
          <w:rFonts w:ascii="Trebuchet MS" w:hAnsi="Trebuchet MS"/>
        </w:rPr>
        <w:t xml:space="preserve">, né </w:t>
      </w:r>
      <w:r w:rsidRPr="003A12A0">
        <w:rPr>
          <w:rFonts w:ascii="Trebuchet MS" w:hAnsi="Trebuchet MS"/>
        </w:rPr>
        <w:t xml:space="preserve">in </w:t>
      </w:r>
      <w:r w:rsidR="000552BF" w:rsidRPr="003A12A0">
        <w:rPr>
          <w:rFonts w:ascii="Trebuchet MS" w:hAnsi="Trebuchet MS"/>
        </w:rPr>
        <w:t xml:space="preserve">alcuna delle </w:t>
      </w:r>
      <w:r w:rsidR="009C0552" w:rsidRPr="003A12A0">
        <w:rPr>
          <w:rFonts w:ascii="Trebuchet MS" w:hAnsi="Trebuchet MS"/>
        </w:rPr>
        <w:t>situazioni di incompatibilità</w:t>
      </w:r>
      <w:r w:rsidR="000552BF" w:rsidRPr="003A12A0">
        <w:rPr>
          <w:rFonts w:ascii="Trebuchet MS" w:hAnsi="Trebuchet MS"/>
        </w:rPr>
        <w:t xml:space="preserve"> </w:t>
      </w:r>
      <w:r w:rsidR="009C0552" w:rsidRPr="003A12A0">
        <w:rPr>
          <w:rFonts w:ascii="Trebuchet MS" w:hAnsi="Trebuchet MS"/>
        </w:rPr>
        <w:t>con i concorrenti previste dagli artt.</w:t>
      </w:r>
      <w:r w:rsidR="000552BF" w:rsidRPr="003A12A0">
        <w:rPr>
          <w:rFonts w:ascii="Trebuchet MS" w:hAnsi="Trebuchet MS"/>
        </w:rPr>
        <w:t xml:space="preserve"> 51</w:t>
      </w:r>
      <w:r w:rsidR="00CE356D" w:rsidRPr="003A12A0">
        <w:rPr>
          <w:rFonts w:ascii="Trebuchet MS" w:hAnsi="Trebuchet MS"/>
          <w:sz w:val="16"/>
          <w:vertAlign w:val="superscript"/>
        </w:rPr>
        <w:t>5</w:t>
      </w:r>
      <w:r w:rsidR="000552BF" w:rsidRPr="003A12A0">
        <w:rPr>
          <w:rFonts w:ascii="Trebuchet MS" w:hAnsi="Trebuchet MS"/>
        </w:rPr>
        <w:t xml:space="preserve"> </w:t>
      </w:r>
      <w:r w:rsidR="009C0552" w:rsidRPr="003A12A0">
        <w:rPr>
          <w:rFonts w:ascii="Trebuchet MS" w:hAnsi="Trebuchet MS"/>
        </w:rPr>
        <w:t>e 52</w:t>
      </w:r>
      <w:r w:rsidR="00CE356D" w:rsidRPr="003A12A0">
        <w:rPr>
          <w:rFonts w:ascii="Trebuchet MS" w:hAnsi="Trebuchet MS"/>
          <w:sz w:val="16"/>
          <w:vertAlign w:val="superscript"/>
        </w:rPr>
        <w:t>6</w:t>
      </w:r>
      <w:r w:rsidR="009C0552" w:rsidRPr="003A12A0">
        <w:rPr>
          <w:rFonts w:ascii="Trebuchet MS" w:hAnsi="Trebuchet MS"/>
        </w:rPr>
        <w:t xml:space="preserve"> </w:t>
      </w:r>
      <w:r w:rsidR="000552BF" w:rsidRPr="003A12A0">
        <w:rPr>
          <w:rFonts w:ascii="Trebuchet MS" w:hAnsi="Trebuchet MS"/>
        </w:rPr>
        <w:t xml:space="preserve">del </w:t>
      </w:r>
      <w:r w:rsidR="00564EC0" w:rsidRPr="003A12A0">
        <w:rPr>
          <w:rFonts w:ascii="Trebuchet MS" w:hAnsi="Trebuchet MS"/>
        </w:rPr>
        <w:t>c</w:t>
      </w:r>
      <w:r w:rsidR="000552BF" w:rsidRPr="003A12A0">
        <w:rPr>
          <w:rFonts w:ascii="Trebuchet MS" w:hAnsi="Trebuchet MS"/>
        </w:rPr>
        <w:t xml:space="preserve">odice di </w:t>
      </w:r>
      <w:r w:rsidR="00564EC0" w:rsidRPr="003A12A0">
        <w:rPr>
          <w:rFonts w:ascii="Trebuchet MS" w:hAnsi="Trebuchet MS"/>
        </w:rPr>
        <w:t>p</w:t>
      </w:r>
      <w:r w:rsidR="000552BF" w:rsidRPr="003A12A0">
        <w:rPr>
          <w:rFonts w:ascii="Trebuchet MS" w:hAnsi="Trebuchet MS"/>
        </w:rPr>
        <w:t>rocedura Civile</w:t>
      </w:r>
      <w:r w:rsidR="007B23D0" w:rsidRPr="003A12A0">
        <w:rPr>
          <w:rFonts w:ascii="Trebuchet MS" w:hAnsi="Trebuchet MS"/>
        </w:rPr>
        <w:t>;</w:t>
      </w:r>
      <w:r w:rsidR="003A12A0" w:rsidRPr="003A12A0">
        <w:rPr>
          <w:rFonts w:ascii="Trebuchet MS" w:hAnsi="Trebuchet MS"/>
        </w:rPr>
        <w:t xml:space="preserve"> (in caso contrario specificare le tipologie di rapporti come riportati in nota)</w:t>
      </w:r>
      <w:r w:rsidR="003A12A0">
        <w:rPr>
          <w:rStyle w:val="Rimandonotaapidipagina"/>
          <w:rFonts w:ascii="Trebuchet MS" w:hAnsi="Trebuchet MS"/>
        </w:rPr>
        <w:footnoteReference w:id="1"/>
      </w:r>
      <w:r w:rsidR="003A12A0" w:rsidRPr="003A12A0">
        <w:rPr>
          <w:rFonts w:ascii="Trebuchet MS" w:hAnsi="Trebuchet MS"/>
        </w:rPr>
        <w:t xml:space="preserve"> </w:t>
      </w:r>
      <w:r w:rsidR="003A12A0">
        <w:rPr>
          <w:rFonts w:ascii="Trebuchet MS" w:hAnsi="Trebuchet MS"/>
        </w:rPr>
        <w:t>.</w:t>
      </w:r>
    </w:p>
    <w:p w14:paraId="3270EB11" w14:textId="77777777" w:rsidR="000552BF" w:rsidRPr="002D0C74" w:rsidRDefault="000552BF" w:rsidP="000552BF">
      <w:pPr>
        <w:spacing w:after="0"/>
        <w:jc w:val="both"/>
        <w:rPr>
          <w:rFonts w:ascii="Trebuchet MS" w:hAnsi="Trebuchet MS"/>
        </w:rPr>
      </w:pPr>
    </w:p>
    <w:p w14:paraId="489D4A17" w14:textId="77777777" w:rsidR="003A12A0" w:rsidRDefault="003A12A0" w:rsidP="000552BF">
      <w:pPr>
        <w:spacing w:after="0"/>
        <w:jc w:val="both"/>
        <w:rPr>
          <w:rFonts w:ascii="Trebuchet MS" w:hAnsi="Trebuchet MS"/>
        </w:rPr>
      </w:pPr>
    </w:p>
    <w:p w14:paraId="3374BF37" w14:textId="77777777" w:rsidR="003A12A0" w:rsidRDefault="003A12A0" w:rsidP="000552BF">
      <w:pPr>
        <w:spacing w:after="0"/>
        <w:jc w:val="both"/>
        <w:rPr>
          <w:rFonts w:ascii="Trebuchet MS" w:hAnsi="Trebuchet MS"/>
        </w:rPr>
      </w:pPr>
    </w:p>
    <w:p w14:paraId="2BE3FC5A" w14:textId="77777777" w:rsidR="003A12A0" w:rsidRDefault="003A12A0" w:rsidP="000552BF">
      <w:pPr>
        <w:spacing w:after="0"/>
        <w:jc w:val="both"/>
        <w:rPr>
          <w:rFonts w:ascii="Trebuchet MS" w:hAnsi="Trebuchet MS"/>
        </w:rPr>
      </w:pPr>
    </w:p>
    <w:p w14:paraId="238CC118" w14:textId="77777777" w:rsidR="003A12A0" w:rsidRDefault="003A12A0" w:rsidP="000552BF">
      <w:pPr>
        <w:spacing w:after="0"/>
        <w:jc w:val="both"/>
        <w:rPr>
          <w:rFonts w:ascii="Trebuchet MS" w:hAnsi="Trebuchet MS"/>
        </w:rPr>
      </w:pPr>
    </w:p>
    <w:p w14:paraId="338118B3" w14:textId="77777777" w:rsidR="003A12A0" w:rsidRDefault="003A12A0" w:rsidP="000552BF">
      <w:pPr>
        <w:spacing w:after="0"/>
        <w:jc w:val="both"/>
        <w:rPr>
          <w:rFonts w:ascii="Trebuchet MS" w:hAnsi="Trebuchet MS"/>
        </w:rPr>
      </w:pPr>
    </w:p>
    <w:p w14:paraId="036A07DE" w14:textId="77777777" w:rsidR="003A12A0" w:rsidRDefault="003A12A0" w:rsidP="000552BF">
      <w:pPr>
        <w:spacing w:after="0"/>
        <w:jc w:val="both"/>
        <w:rPr>
          <w:rFonts w:ascii="Trebuchet MS" w:hAnsi="Trebuchet MS"/>
        </w:rPr>
      </w:pPr>
    </w:p>
    <w:p w14:paraId="30F6B44F" w14:textId="7A9D6649" w:rsidR="000552BF" w:rsidRPr="002D0C74" w:rsidRDefault="003E01FD" w:rsidP="003A12A0">
      <w:pPr>
        <w:spacing w:after="0"/>
        <w:ind w:firstLine="708"/>
        <w:jc w:val="both"/>
        <w:rPr>
          <w:rFonts w:ascii="Trebuchet MS" w:hAnsi="Trebuchet MS"/>
        </w:rPr>
      </w:pPr>
      <w:r w:rsidRPr="002D0C74">
        <w:rPr>
          <w:rFonts w:ascii="Trebuchet MS" w:hAnsi="Trebuchet MS"/>
        </w:rPr>
        <w:t>Milano</w:t>
      </w:r>
      <w:r w:rsidR="000552BF" w:rsidRPr="002D0C74">
        <w:rPr>
          <w:rFonts w:ascii="Trebuchet MS" w:hAnsi="Trebuchet MS"/>
        </w:rPr>
        <w:t>, li ……………………………………</w:t>
      </w:r>
      <w:r w:rsidR="000552BF" w:rsidRPr="002D0C74">
        <w:rPr>
          <w:rFonts w:ascii="Trebuchet MS" w:hAnsi="Trebuchet MS"/>
        </w:rPr>
        <w:tab/>
      </w:r>
      <w:r w:rsidR="000552BF" w:rsidRPr="002D0C74">
        <w:rPr>
          <w:rFonts w:ascii="Trebuchet MS" w:hAnsi="Trebuchet MS"/>
        </w:rPr>
        <w:tab/>
      </w:r>
      <w:r w:rsidR="000552BF" w:rsidRPr="002D0C74">
        <w:rPr>
          <w:rFonts w:ascii="Trebuchet MS" w:hAnsi="Trebuchet MS"/>
        </w:rPr>
        <w:tab/>
      </w:r>
      <w:r w:rsidR="000552BF" w:rsidRPr="002D0C74">
        <w:rPr>
          <w:rFonts w:ascii="Trebuchet MS" w:hAnsi="Trebuchet MS"/>
        </w:rPr>
        <w:tab/>
      </w:r>
      <w:r w:rsidR="000552BF" w:rsidRPr="002D0C74">
        <w:rPr>
          <w:rFonts w:ascii="Trebuchet MS" w:hAnsi="Trebuchet MS"/>
        </w:rPr>
        <w:tab/>
      </w:r>
      <w:r w:rsidR="000552BF" w:rsidRPr="002D0C74">
        <w:rPr>
          <w:rFonts w:ascii="Trebuchet MS" w:hAnsi="Trebuchet MS"/>
        </w:rPr>
        <w:tab/>
      </w:r>
    </w:p>
    <w:p w14:paraId="036FF8F8" w14:textId="57D42500" w:rsidR="000552BF" w:rsidRPr="002D0C74" w:rsidRDefault="000552BF" w:rsidP="000552BF">
      <w:pPr>
        <w:spacing w:after="0"/>
        <w:jc w:val="both"/>
        <w:rPr>
          <w:rFonts w:ascii="Trebuchet MS" w:hAnsi="Trebuchet MS"/>
        </w:rPr>
      </w:pP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Pr="002D0C74">
        <w:rPr>
          <w:rFonts w:ascii="Trebuchet MS" w:hAnsi="Trebuchet MS"/>
        </w:rPr>
        <w:tab/>
      </w:r>
      <w:r w:rsidR="003A12A0">
        <w:rPr>
          <w:rFonts w:ascii="Trebuchet MS" w:hAnsi="Trebuchet MS"/>
        </w:rPr>
        <w:t xml:space="preserve">              </w:t>
      </w:r>
      <w:r w:rsidRPr="002D0C74">
        <w:rPr>
          <w:rFonts w:ascii="Trebuchet MS" w:hAnsi="Trebuchet MS"/>
        </w:rPr>
        <w:t>Il dichiarante</w:t>
      </w:r>
    </w:p>
    <w:p w14:paraId="79AEF365" w14:textId="213666DF" w:rsidR="000552BF" w:rsidRPr="002D0C74" w:rsidRDefault="000552BF" w:rsidP="003A12A0">
      <w:pPr>
        <w:spacing w:before="240" w:after="240"/>
        <w:ind w:firstLine="708"/>
        <w:jc w:val="center"/>
        <w:rPr>
          <w:rFonts w:ascii="Trebuchet MS" w:hAnsi="Trebuchet MS"/>
        </w:rPr>
      </w:pPr>
      <w:r w:rsidRPr="002D0C74">
        <w:rPr>
          <w:rFonts w:ascii="Trebuchet MS" w:hAnsi="Trebuchet MS"/>
        </w:rPr>
        <w:lastRenderedPageBreak/>
        <w:t xml:space="preserve">                                                                                       ……………..…………………………………</w:t>
      </w:r>
    </w:p>
    <w:p w14:paraId="47BC5776" w14:textId="77777777" w:rsidR="000552BF" w:rsidRPr="002D0C74" w:rsidRDefault="000552BF" w:rsidP="000552BF">
      <w:pPr>
        <w:pStyle w:val="NormaleWeb"/>
        <w:shd w:val="clear" w:color="auto" w:fill="F5FDFE"/>
        <w:spacing w:before="0" w:beforeAutospacing="0" w:after="0" w:afterAutospacing="0"/>
        <w:jc w:val="both"/>
        <w:rPr>
          <w:rFonts w:ascii="Trebuchet MS" w:hAnsi="Trebuchet MS" w:cs="Tahoma"/>
          <w:b/>
          <w:bCs/>
          <w:sz w:val="16"/>
          <w:szCs w:val="16"/>
        </w:rPr>
      </w:pPr>
    </w:p>
    <w:p w14:paraId="1F7427C1" w14:textId="77777777" w:rsidR="000552BF" w:rsidRPr="002D0C74" w:rsidRDefault="000552BF" w:rsidP="000552BF">
      <w:pPr>
        <w:pStyle w:val="NormaleWeb"/>
        <w:shd w:val="clear" w:color="auto" w:fill="F5FDFE"/>
        <w:spacing w:before="0" w:beforeAutospacing="0" w:after="0" w:afterAutospacing="0"/>
        <w:jc w:val="both"/>
        <w:rPr>
          <w:rFonts w:ascii="Trebuchet MS" w:hAnsi="Trebuchet MS" w:cs="Tahoma"/>
          <w:b/>
          <w:bCs/>
          <w:sz w:val="16"/>
          <w:szCs w:val="16"/>
        </w:rPr>
      </w:pPr>
    </w:p>
    <w:p w14:paraId="4625E171" w14:textId="77777777" w:rsidR="000552BF" w:rsidRPr="002D0C74" w:rsidRDefault="00564EC0" w:rsidP="000552BF">
      <w:pPr>
        <w:pStyle w:val="NormaleWeb"/>
        <w:shd w:val="clear" w:color="auto" w:fill="F5FDFE"/>
        <w:spacing w:before="0" w:beforeAutospacing="0" w:after="0" w:afterAutospacing="0"/>
        <w:jc w:val="both"/>
        <w:rPr>
          <w:rFonts w:ascii="Trebuchet MS" w:hAnsi="Trebuchet MS" w:cs="Tahoma"/>
          <w:sz w:val="16"/>
          <w:szCs w:val="16"/>
        </w:rPr>
      </w:pPr>
      <w:r w:rsidRPr="002D0C74">
        <w:rPr>
          <w:rFonts w:ascii="Trebuchet MS" w:hAnsi="Trebuchet MS" w:cs="Tahoma"/>
          <w:b/>
          <w:bCs/>
          <w:sz w:val="16"/>
          <w:szCs w:val="16"/>
          <w:vertAlign w:val="superscript"/>
        </w:rPr>
        <w:t>1</w:t>
      </w:r>
      <w:r w:rsidR="000552BF" w:rsidRPr="002D0C74">
        <w:rPr>
          <w:rFonts w:ascii="Trebuchet MS" w:hAnsi="Trebuchet MS" w:cs="Tahoma"/>
          <w:b/>
          <w:bCs/>
          <w:sz w:val="16"/>
          <w:szCs w:val="16"/>
        </w:rPr>
        <w:t>Art.</w:t>
      </w:r>
      <w:r w:rsidR="000552BF" w:rsidRPr="002D0C74">
        <w:rPr>
          <w:rStyle w:val="apple-converted-space"/>
          <w:rFonts w:ascii="Trebuchet MS" w:hAnsi="Trebuchet MS" w:cs="Tahoma"/>
          <w:b/>
          <w:bCs/>
          <w:sz w:val="16"/>
          <w:szCs w:val="16"/>
        </w:rPr>
        <w:t> </w:t>
      </w:r>
      <w:bookmarkStart w:id="0" w:name="35-bis"/>
      <w:r w:rsidR="000552BF" w:rsidRPr="002D0C74">
        <w:rPr>
          <w:rFonts w:ascii="Trebuchet MS" w:hAnsi="Trebuchet MS" w:cs="Tahoma"/>
          <w:b/>
          <w:bCs/>
          <w:sz w:val="16"/>
          <w:szCs w:val="16"/>
        </w:rPr>
        <w:t>35-bis</w:t>
      </w:r>
      <w:bookmarkEnd w:id="0"/>
      <w:r w:rsidR="000552BF" w:rsidRPr="002D0C74">
        <w:rPr>
          <w:rFonts w:ascii="Trebuchet MS" w:hAnsi="Trebuchet MS" w:cs="Tahoma"/>
          <w:b/>
          <w:bCs/>
          <w:sz w:val="16"/>
          <w:szCs w:val="16"/>
        </w:rPr>
        <w:t xml:space="preserve">, </w:t>
      </w:r>
      <w:proofErr w:type="spellStart"/>
      <w:r w:rsidR="000552BF" w:rsidRPr="002D0C74">
        <w:rPr>
          <w:rFonts w:ascii="Trebuchet MS" w:hAnsi="Trebuchet MS" w:cs="Tahoma"/>
          <w:b/>
          <w:bCs/>
          <w:sz w:val="16"/>
          <w:szCs w:val="16"/>
        </w:rPr>
        <w:t>D.Lgs.</w:t>
      </w:r>
      <w:proofErr w:type="spellEnd"/>
      <w:r w:rsidR="000552BF" w:rsidRPr="002D0C74">
        <w:rPr>
          <w:rFonts w:ascii="Trebuchet MS" w:hAnsi="Trebuchet MS" w:cs="Tahoma"/>
          <w:b/>
          <w:bCs/>
          <w:sz w:val="16"/>
          <w:szCs w:val="16"/>
        </w:rPr>
        <w:t xml:space="preserve"> 165/2001. Prevenzione del fenomeno della corruzione nella formazione di commissioni e nelle assegnazioni agli uffici</w:t>
      </w:r>
      <w:r w:rsidR="000552BF" w:rsidRPr="002D0C74">
        <w:rPr>
          <w:rFonts w:ascii="Trebuchet MS" w:hAnsi="Trebuchet MS" w:cs="Tahoma"/>
          <w:b/>
          <w:bCs/>
          <w:sz w:val="16"/>
          <w:szCs w:val="16"/>
        </w:rPr>
        <w:br/>
      </w:r>
      <w:r w:rsidR="001F2743" w:rsidRPr="002D0C74">
        <w:rPr>
          <w:rFonts w:ascii="Trebuchet MS" w:hAnsi="Trebuchet MS" w:cs="Tahoma"/>
          <w:sz w:val="16"/>
          <w:szCs w:val="16"/>
        </w:rPr>
        <w:t>“</w:t>
      </w:r>
      <w:r w:rsidR="000552BF" w:rsidRPr="002D0C74">
        <w:rPr>
          <w:rFonts w:ascii="Trebuchet MS" w:hAnsi="Trebuchet MS" w:cs="Tahoma"/>
          <w:sz w:val="16"/>
          <w:szCs w:val="16"/>
        </w:rPr>
        <w:t>Coloro che sono stati condannati, anche con sentenza non passata in giudicato, per i reati previsti nel capo I del titolo II del libro secondo del codice penale:</w:t>
      </w:r>
    </w:p>
    <w:p w14:paraId="36468D15" w14:textId="77777777" w:rsidR="000552BF" w:rsidRPr="002D0C74" w:rsidRDefault="000552BF" w:rsidP="000552BF">
      <w:pPr>
        <w:pStyle w:val="NormaleWeb"/>
        <w:shd w:val="clear" w:color="auto" w:fill="F5FDFE"/>
        <w:spacing w:before="0" w:beforeAutospacing="0" w:after="0" w:afterAutospacing="0"/>
        <w:jc w:val="both"/>
        <w:rPr>
          <w:rFonts w:ascii="Trebuchet MS" w:hAnsi="Trebuchet MS" w:cs="Tahoma"/>
          <w:sz w:val="16"/>
          <w:szCs w:val="16"/>
        </w:rPr>
      </w:pPr>
      <w:r w:rsidRPr="002D0C74">
        <w:rPr>
          <w:rFonts w:ascii="Trebuchet MS" w:hAnsi="Trebuchet MS" w:cs="Tahoma"/>
          <w:sz w:val="16"/>
          <w:szCs w:val="16"/>
        </w:rPr>
        <w:t>a) non possono fare parte, anche con compiti di segreteria, di commissioni per l’accesso o la selezione a pubblici impieghi;</w:t>
      </w:r>
      <w:r w:rsidRPr="002D0C74">
        <w:rPr>
          <w:rFonts w:ascii="Trebuchet MS" w:hAnsi="Trebuchet MS" w:cs="Tahoma"/>
          <w:sz w:val="16"/>
          <w:szCs w:val="16"/>
        </w:rPr>
        <w:b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4B9F4116" w14:textId="77777777" w:rsidR="000552BF" w:rsidRPr="002D0C74" w:rsidRDefault="000552BF" w:rsidP="000552BF">
      <w:pPr>
        <w:pStyle w:val="NormaleWeb"/>
        <w:shd w:val="clear" w:color="auto" w:fill="F5FDFE"/>
        <w:spacing w:before="0" w:beforeAutospacing="0" w:after="0" w:afterAutospacing="0"/>
        <w:jc w:val="both"/>
        <w:rPr>
          <w:rFonts w:ascii="Trebuchet MS" w:hAnsi="Trebuchet MS" w:cs="Tahoma"/>
          <w:sz w:val="16"/>
          <w:szCs w:val="16"/>
        </w:rPr>
      </w:pPr>
      <w:r w:rsidRPr="002D0C74">
        <w:rPr>
          <w:rFonts w:ascii="Trebuchet MS" w:hAnsi="Trebuchet MS" w:cs="Tahoma"/>
          <w:sz w:val="16"/>
          <w:szCs w:val="16"/>
        </w:rPr>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001F2743" w:rsidRPr="002D0C74">
        <w:rPr>
          <w:rFonts w:ascii="Trebuchet MS" w:hAnsi="Trebuchet MS" w:cs="Tahoma"/>
          <w:sz w:val="16"/>
          <w:szCs w:val="16"/>
        </w:rPr>
        <w:t>”</w:t>
      </w:r>
      <w:r w:rsidRPr="002D0C74">
        <w:rPr>
          <w:rFonts w:ascii="Trebuchet MS" w:hAnsi="Trebuchet MS" w:cs="Tahoma"/>
          <w:sz w:val="16"/>
          <w:szCs w:val="16"/>
        </w:rPr>
        <w:t>.</w:t>
      </w:r>
    </w:p>
    <w:p w14:paraId="3790B665" w14:textId="77777777" w:rsidR="007B23D0" w:rsidRPr="002D0C74" w:rsidRDefault="00564EC0" w:rsidP="000552BF">
      <w:pPr>
        <w:pStyle w:val="NormaleWeb"/>
        <w:shd w:val="clear" w:color="auto" w:fill="F5FDFE"/>
        <w:spacing w:before="0" w:beforeAutospacing="0" w:after="0" w:afterAutospacing="0"/>
        <w:jc w:val="both"/>
        <w:rPr>
          <w:rFonts w:ascii="Trebuchet MS" w:hAnsi="Trebuchet MS" w:cs="Tahoma"/>
          <w:b/>
          <w:sz w:val="16"/>
          <w:szCs w:val="16"/>
        </w:rPr>
      </w:pPr>
      <w:r w:rsidRPr="002D0C74">
        <w:rPr>
          <w:rFonts w:ascii="Trebuchet MS" w:hAnsi="Trebuchet MS" w:cs="Tahoma"/>
          <w:b/>
          <w:bCs/>
          <w:sz w:val="16"/>
          <w:szCs w:val="16"/>
          <w:vertAlign w:val="superscript"/>
        </w:rPr>
        <w:t>2</w:t>
      </w:r>
      <w:r w:rsidR="00780D21" w:rsidRPr="002D0C74">
        <w:rPr>
          <w:rFonts w:ascii="Trebuchet MS" w:hAnsi="Trebuchet MS" w:cs="Tahoma"/>
          <w:b/>
          <w:sz w:val="16"/>
          <w:szCs w:val="16"/>
        </w:rPr>
        <w:t>Art. 4, D.lgs. 1172/1948. Parentela o affinità</w:t>
      </w:r>
    </w:p>
    <w:p w14:paraId="45B20C85" w14:textId="77777777" w:rsidR="00780D21" w:rsidRPr="002D0C74" w:rsidRDefault="001F2743" w:rsidP="000552BF">
      <w:pPr>
        <w:pStyle w:val="NormaleWeb"/>
        <w:shd w:val="clear" w:color="auto" w:fill="F5FDFE"/>
        <w:spacing w:before="0" w:beforeAutospacing="0" w:after="0" w:afterAutospacing="0"/>
        <w:jc w:val="both"/>
        <w:rPr>
          <w:rFonts w:ascii="Trebuchet MS" w:hAnsi="Trebuchet MS" w:cs="Tahoma"/>
          <w:sz w:val="16"/>
          <w:szCs w:val="16"/>
        </w:rPr>
      </w:pPr>
      <w:r w:rsidRPr="002D0C74">
        <w:rPr>
          <w:rFonts w:ascii="Trebuchet MS" w:hAnsi="Trebuchet MS" w:cs="Tahoma"/>
          <w:sz w:val="16"/>
          <w:szCs w:val="16"/>
        </w:rPr>
        <w:t>“</w:t>
      </w:r>
      <w:r w:rsidR="00780D21" w:rsidRPr="002D0C74">
        <w:rPr>
          <w:rFonts w:ascii="Trebuchet MS" w:hAnsi="Trebuchet MS" w:cs="Tahoma"/>
          <w:sz w:val="16"/>
          <w:szCs w:val="16"/>
        </w:rPr>
        <w:t>Non possono far parte della stessa Commissione membri che siano tra loro, o con alcuno dei candidati, parenti od affini fino al quarto grado incluso</w:t>
      </w:r>
      <w:r w:rsidRPr="002D0C74">
        <w:rPr>
          <w:rFonts w:ascii="Trebuchet MS" w:hAnsi="Trebuchet MS" w:cs="Tahoma"/>
          <w:sz w:val="16"/>
          <w:szCs w:val="16"/>
        </w:rPr>
        <w:t>”</w:t>
      </w:r>
      <w:r w:rsidR="00780D21" w:rsidRPr="002D0C74">
        <w:rPr>
          <w:rFonts w:ascii="Trebuchet MS" w:hAnsi="Trebuchet MS" w:cs="Tahoma"/>
          <w:sz w:val="16"/>
          <w:szCs w:val="16"/>
        </w:rPr>
        <w:t>.</w:t>
      </w:r>
    </w:p>
    <w:p w14:paraId="5A971D43" w14:textId="77777777" w:rsidR="000552BF" w:rsidRPr="002D0C74" w:rsidRDefault="00564EC0" w:rsidP="0005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converted-space"/>
          <w:rFonts w:ascii="Trebuchet MS" w:hAnsi="Trebuchet MS" w:cs="Tahoma"/>
          <w:b/>
          <w:bCs/>
          <w:sz w:val="16"/>
          <w:szCs w:val="16"/>
        </w:rPr>
      </w:pPr>
      <w:r w:rsidRPr="002D0C74">
        <w:rPr>
          <w:rFonts w:ascii="Trebuchet MS" w:eastAsia="Times New Roman" w:hAnsi="Trebuchet MS" w:cs="Tahoma"/>
          <w:b/>
          <w:bCs/>
          <w:sz w:val="16"/>
          <w:szCs w:val="16"/>
          <w:vertAlign w:val="superscript"/>
          <w:lang w:eastAsia="it-IT"/>
        </w:rPr>
        <w:t>3</w:t>
      </w:r>
      <w:r w:rsidR="000552BF" w:rsidRPr="002D0C74">
        <w:rPr>
          <w:rFonts w:ascii="Trebuchet MS" w:hAnsi="Trebuchet MS" w:cs="Tahoma"/>
          <w:b/>
          <w:bCs/>
          <w:sz w:val="16"/>
          <w:szCs w:val="16"/>
        </w:rPr>
        <w:t>Art.</w:t>
      </w:r>
      <w:r w:rsidR="000552BF" w:rsidRPr="002D0C74">
        <w:rPr>
          <w:rStyle w:val="apple-converted-space"/>
          <w:rFonts w:ascii="Trebuchet MS" w:hAnsi="Trebuchet MS" w:cs="Tahoma"/>
          <w:b/>
          <w:bCs/>
          <w:sz w:val="16"/>
          <w:szCs w:val="16"/>
        </w:rPr>
        <w:t> </w:t>
      </w:r>
      <w:r w:rsidR="00133F89" w:rsidRPr="002D0C74">
        <w:rPr>
          <w:rStyle w:val="apple-converted-space"/>
          <w:rFonts w:ascii="Trebuchet MS" w:hAnsi="Trebuchet MS" w:cs="Tahoma"/>
          <w:b/>
          <w:bCs/>
          <w:sz w:val="16"/>
          <w:szCs w:val="16"/>
        </w:rPr>
        <w:t xml:space="preserve">6 bis L. 241/1990 introdotto dall’art. </w:t>
      </w:r>
      <w:r w:rsidR="000552BF" w:rsidRPr="002D0C74">
        <w:rPr>
          <w:rStyle w:val="apple-converted-space"/>
          <w:rFonts w:ascii="Trebuchet MS" w:hAnsi="Trebuchet MS" w:cs="Tahoma"/>
          <w:b/>
          <w:bCs/>
          <w:sz w:val="16"/>
          <w:szCs w:val="16"/>
        </w:rPr>
        <w:t>1, comma 41, Legge 190/2012. Conflitto di interessi</w:t>
      </w:r>
    </w:p>
    <w:p w14:paraId="724A7019" w14:textId="77777777" w:rsidR="000552BF" w:rsidRPr="002D0C74" w:rsidRDefault="001F2743" w:rsidP="000552BF">
      <w:pPr>
        <w:pStyle w:val="NormaleWeb"/>
        <w:shd w:val="clear" w:color="auto" w:fill="F5FDFE"/>
        <w:spacing w:before="0" w:beforeAutospacing="0" w:after="0" w:afterAutospacing="0"/>
        <w:jc w:val="both"/>
        <w:rPr>
          <w:rFonts w:ascii="Trebuchet MS" w:hAnsi="Trebuchet MS" w:cs="Tahoma"/>
          <w:sz w:val="16"/>
          <w:szCs w:val="16"/>
          <w:shd w:val="clear" w:color="auto" w:fill="F5FDFE"/>
        </w:rPr>
      </w:pPr>
      <w:r w:rsidRPr="002D0C74">
        <w:rPr>
          <w:rFonts w:ascii="Trebuchet MS" w:hAnsi="Trebuchet MS" w:cs="Tahoma"/>
          <w:sz w:val="16"/>
          <w:szCs w:val="16"/>
          <w:shd w:val="clear" w:color="auto" w:fill="F5FDFE"/>
        </w:rPr>
        <w:t>“</w:t>
      </w:r>
      <w:r w:rsidR="000552BF" w:rsidRPr="002D0C74">
        <w:rPr>
          <w:rFonts w:ascii="Trebuchet MS" w:hAnsi="Trebuchet MS" w:cs="Tahoma"/>
          <w:sz w:val="16"/>
          <w:szCs w:val="16"/>
          <w:shd w:val="clear" w:color="auto" w:fill="F5FDFE"/>
        </w:rPr>
        <w:t xml:space="preserve">Il responsabile del procedimento e i titolari degli uffici competenti ad adottare i pareri, le valutazioni tecniche, gli atti </w:t>
      </w:r>
      <w:proofErr w:type="spellStart"/>
      <w:r w:rsidR="000552BF" w:rsidRPr="002D0C74">
        <w:rPr>
          <w:rFonts w:ascii="Trebuchet MS" w:hAnsi="Trebuchet MS" w:cs="Tahoma"/>
          <w:sz w:val="16"/>
          <w:szCs w:val="16"/>
          <w:shd w:val="clear" w:color="auto" w:fill="F5FDFE"/>
        </w:rPr>
        <w:t>endoprocedimentali</w:t>
      </w:r>
      <w:proofErr w:type="spellEnd"/>
      <w:r w:rsidR="000552BF" w:rsidRPr="002D0C74">
        <w:rPr>
          <w:rFonts w:ascii="Trebuchet MS" w:hAnsi="Trebuchet MS" w:cs="Tahoma"/>
          <w:sz w:val="16"/>
          <w:szCs w:val="16"/>
          <w:shd w:val="clear" w:color="auto" w:fill="F5FDFE"/>
        </w:rPr>
        <w:t xml:space="preserve"> e il provvedimento finale devono astenersi in caso di conflitto di interessi, segnalando ogni situazione di conflitto, anche potenziale</w:t>
      </w:r>
      <w:r w:rsidRPr="002D0C74">
        <w:rPr>
          <w:rFonts w:ascii="Trebuchet MS" w:hAnsi="Trebuchet MS" w:cs="Tahoma"/>
          <w:sz w:val="16"/>
          <w:szCs w:val="16"/>
          <w:shd w:val="clear" w:color="auto" w:fill="F5FDFE"/>
        </w:rPr>
        <w:t>”</w:t>
      </w:r>
      <w:r w:rsidR="000552BF" w:rsidRPr="002D0C74">
        <w:rPr>
          <w:rFonts w:ascii="Trebuchet MS" w:hAnsi="Trebuchet MS" w:cs="Tahoma"/>
          <w:sz w:val="16"/>
          <w:szCs w:val="16"/>
          <w:shd w:val="clear" w:color="auto" w:fill="F5FDFE"/>
        </w:rPr>
        <w:t>.</w:t>
      </w:r>
    </w:p>
    <w:p w14:paraId="2CBB6A57" w14:textId="77777777" w:rsidR="000552BF" w:rsidRPr="002D0C74" w:rsidRDefault="00564EC0" w:rsidP="0005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converted-space"/>
          <w:rFonts w:ascii="Trebuchet MS" w:hAnsi="Trebuchet MS" w:cs="Tahoma"/>
          <w:b/>
          <w:bCs/>
          <w:sz w:val="16"/>
          <w:szCs w:val="16"/>
        </w:rPr>
      </w:pPr>
      <w:r w:rsidRPr="002D0C74">
        <w:rPr>
          <w:rFonts w:ascii="Trebuchet MS" w:eastAsia="Times New Roman" w:hAnsi="Trebuchet MS" w:cs="Tahoma"/>
          <w:b/>
          <w:bCs/>
          <w:sz w:val="16"/>
          <w:szCs w:val="16"/>
          <w:vertAlign w:val="superscript"/>
          <w:lang w:eastAsia="it-IT"/>
        </w:rPr>
        <w:t>4</w:t>
      </w:r>
      <w:r w:rsidR="000552BF" w:rsidRPr="002D0C74">
        <w:rPr>
          <w:rFonts w:ascii="Trebuchet MS" w:hAnsi="Trebuchet MS" w:cs="Tahoma"/>
          <w:b/>
          <w:bCs/>
          <w:sz w:val="16"/>
          <w:szCs w:val="16"/>
        </w:rPr>
        <w:t>Art.</w:t>
      </w:r>
      <w:r w:rsidR="000552BF" w:rsidRPr="002D0C74">
        <w:rPr>
          <w:rStyle w:val="apple-converted-space"/>
          <w:rFonts w:ascii="Trebuchet MS" w:hAnsi="Trebuchet MS" w:cs="Tahoma"/>
          <w:b/>
          <w:bCs/>
          <w:sz w:val="16"/>
          <w:szCs w:val="16"/>
        </w:rPr>
        <w:t> 7, DPR 62/2013. Obbligo di astensione</w:t>
      </w:r>
    </w:p>
    <w:p w14:paraId="2CEB5DCE" w14:textId="77777777" w:rsidR="000552BF" w:rsidRPr="002D0C74" w:rsidRDefault="001F2743" w:rsidP="001F2743">
      <w:pPr>
        <w:pStyle w:val="PreformattatoHTML"/>
        <w:jc w:val="both"/>
        <w:rPr>
          <w:rFonts w:ascii="Trebuchet MS" w:hAnsi="Trebuchet MS"/>
          <w:sz w:val="16"/>
          <w:szCs w:val="16"/>
        </w:rPr>
      </w:pPr>
      <w:r w:rsidRPr="002D0C74">
        <w:rPr>
          <w:rFonts w:ascii="Trebuchet MS" w:hAnsi="Trebuchet MS"/>
          <w:sz w:val="16"/>
          <w:szCs w:val="16"/>
        </w:rPr>
        <w:t>“</w:t>
      </w:r>
      <w:r w:rsidR="000552BF" w:rsidRPr="002D0C74">
        <w:rPr>
          <w:rFonts w:ascii="Trebuchet MS" w:hAnsi="Trebuchet MS"/>
          <w:sz w:val="16"/>
          <w:szCs w:val="16"/>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w:t>
      </w:r>
      <w:r w:rsidRPr="002D0C74">
        <w:rPr>
          <w:rFonts w:ascii="Trebuchet MS" w:hAnsi="Trebuchet MS"/>
          <w:sz w:val="16"/>
          <w:szCs w:val="16"/>
        </w:rPr>
        <w:t xml:space="preserve"> </w:t>
      </w:r>
      <w:r w:rsidR="000552BF" w:rsidRPr="002D0C74">
        <w:rPr>
          <w:rFonts w:ascii="Trebuchet MS" w:hAnsi="Trebuchet MS"/>
          <w:sz w:val="16"/>
          <w:szCs w:val="16"/>
        </w:rPr>
        <w:t xml:space="preserve">società o  stabilimenti  di  cui  sia  amministratore  o  gerente  o dirigente. Il dipendente si astiene </w:t>
      </w:r>
      <w:proofErr w:type="gramStart"/>
      <w:r w:rsidR="000552BF" w:rsidRPr="002D0C74">
        <w:rPr>
          <w:rFonts w:ascii="Trebuchet MS" w:hAnsi="Trebuchet MS"/>
          <w:sz w:val="16"/>
          <w:szCs w:val="16"/>
        </w:rPr>
        <w:t xml:space="preserve">in  </w:t>
      </w:r>
      <w:r w:rsidR="006677EA" w:rsidRPr="002D0C74">
        <w:rPr>
          <w:rFonts w:ascii="Trebuchet MS" w:hAnsi="Trebuchet MS"/>
          <w:sz w:val="16"/>
          <w:szCs w:val="16"/>
        </w:rPr>
        <w:t>o</w:t>
      </w:r>
      <w:r w:rsidR="000552BF" w:rsidRPr="002D0C74">
        <w:rPr>
          <w:rFonts w:ascii="Trebuchet MS" w:hAnsi="Trebuchet MS"/>
          <w:sz w:val="16"/>
          <w:szCs w:val="16"/>
        </w:rPr>
        <w:t>gni</w:t>
      </w:r>
      <w:proofErr w:type="gramEnd"/>
      <w:r w:rsidR="000552BF" w:rsidRPr="002D0C74">
        <w:rPr>
          <w:rFonts w:ascii="Trebuchet MS" w:hAnsi="Trebuchet MS"/>
          <w:sz w:val="16"/>
          <w:szCs w:val="16"/>
        </w:rPr>
        <w:t xml:space="preserve">  altro caso  in  cui esistano gravi ragioni  di  convenienza</w:t>
      </w:r>
      <w:r w:rsidRPr="002D0C74">
        <w:rPr>
          <w:rFonts w:ascii="Trebuchet MS" w:hAnsi="Trebuchet MS"/>
          <w:sz w:val="16"/>
          <w:szCs w:val="16"/>
        </w:rPr>
        <w:t>”</w:t>
      </w:r>
      <w:r w:rsidR="000552BF" w:rsidRPr="002D0C74">
        <w:rPr>
          <w:rFonts w:ascii="Trebuchet MS" w:hAnsi="Trebuchet MS"/>
          <w:sz w:val="16"/>
          <w:szCs w:val="16"/>
        </w:rPr>
        <w:t>.</w:t>
      </w:r>
    </w:p>
    <w:p w14:paraId="5C7A6547" w14:textId="77777777" w:rsidR="000552BF" w:rsidRPr="002D0C74" w:rsidRDefault="00564EC0" w:rsidP="000552BF">
      <w:pPr>
        <w:spacing w:after="0"/>
        <w:jc w:val="both"/>
        <w:rPr>
          <w:rFonts w:ascii="Trebuchet MS" w:hAnsi="Trebuchet MS"/>
          <w:sz w:val="16"/>
          <w:szCs w:val="16"/>
        </w:rPr>
      </w:pPr>
      <w:r w:rsidRPr="002D0C74">
        <w:rPr>
          <w:rFonts w:ascii="Trebuchet MS" w:eastAsia="Times New Roman" w:hAnsi="Trebuchet MS" w:cs="Tahoma"/>
          <w:b/>
          <w:bCs/>
          <w:sz w:val="16"/>
          <w:szCs w:val="16"/>
          <w:vertAlign w:val="superscript"/>
          <w:lang w:eastAsia="it-IT"/>
        </w:rPr>
        <w:t>5</w:t>
      </w:r>
      <w:r w:rsidR="000552BF" w:rsidRPr="002D0C74">
        <w:rPr>
          <w:rFonts w:ascii="Trebuchet MS" w:hAnsi="Trebuchet MS" w:cs="Tahoma"/>
          <w:b/>
          <w:bCs/>
          <w:sz w:val="16"/>
          <w:szCs w:val="16"/>
        </w:rPr>
        <w:t>Art.</w:t>
      </w:r>
      <w:r w:rsidR="000552BF" w:rsidRPr="002D0C74">
        <w:rPr>
          <w:rStyle w:val="apple-converted-space"/>
          <w:rFonts w:ascii="Trebuchet MS" w:hAnsi="Trebuchet MS" w:cs="Tahoma"/>
          <w:b/>
          <w:bCs/>
          <w:sz w:val="16"/>
          <w:szCs w:val="16"/>
        </w:rPr>
        <w:t xml:space="preserve"> 51 </w:t>
      </w:r>
      <w:proofErr w:type="gramStart"/>
      <w:r w:rsidR="000552BF" w:rsidRPr="002D0C74">
        <w:rPr>
          <w:rStyle w:val="apple-converted-space"/>
          <w:rFonts w:ascii="Trebuchet MS" w:hAnsi="Trebuchet MS" w:cs="Tahoma"/>
          <w:b/>
          <w:bCs/>
          <w:sz w:val="16"/>
          <w:szCs w:val="16"/>
        </w:rPr>
        <w:t>c.p.c.</w:t>
      </w:r>
      <w:r w:rsidR="00CE356D" w:rsidRPr="002D0C74">
        <w:rPr>
          <w:rStyle w:val="apple-converted-space"/>
          <w:rFonts w:ascii="Trebuchet MS" w:hAnsi="Trebuchet MS" w:cs="Tahoma"/>
          <w:b/>
          <w:bCs/>
          <w:sz w:val="16"/>
          <w:szCs w:val="16"/>
        </w:rPr>
        <w:t>.</w:t>
      </w:r>
      <w:proofErr w:type="gramEnd"/>
      <w:r w:rsidR="00CE356D" w:rsidRPr="002D0C74">
        <w:rPr>
          <w:rStyle w:val="apple-converted-space"/>
          <w:rFonts w:ascii="Trebuchet MS" w:hAnsi="Trebuchet MS" w:cs="Tahoma"/>
          <w:b/>
          <w:bCs/>
          <w:sz w:val="16"/>
          <w:szCs w:val="16"/>
        </w:rPr>
        <w:t xml:space="preserve"> </w:t>
      </w:r>
      <w:r w:rsidR="000552BF" w:rsidRPr="002D0C74">
        <w:rPr>
          <w:rStyle w:val="apple-converted-space"/>
          <w:rFonts w:ascii="Trebuchet MS" w:hAnsi="Trebuchet MS" w:cs="Tahoma"/>
          <w:b/>
          <w:bCs/>
          <w:sz w:val="16"/>
          <w:szCs w:val="16"/>
        </w:rPr>
        <w:t>Astensione del giudice</w:t>
      </w:r>
      <w:r w:rsidR="00D10E82" w:rsidRPr="002D0C74">
        <w:rPr>
          <w:rStyle w:val="apple-converted-space"/>
          <w:rFonts w:ascii="Trebuchet MS" w:hAnsi="Trebuchet MS" w:cs="Tahoma"/>
          <w:b/>
          <w:bCs/>
          <w:sz w:val="16"/>
          <w:szCs w:val="16"/>
        </w:rPr>
        <w:t xml:space="preserve"> (applicabile, secondo l’orientamento della giurisprudenza amministrativa, ai concorsi universitari)</w:t>
      </w:r>
    </w:p>
    <w:p w14:paraId="5E8C2C88" w14:textId="77777777" w:rsidR="000552BF" w:rsidRPr="002D0C74" w:rsidRDefault="001F2743" w:rsidP="000552BF">
      <w:pPr>
        <w:spacing w:after="0" w:line="240" w:lineRule="auto"/>
        <w:jc w:val="both"/>
        <w:rPr>
          <w:rFonts w:ascii="Trebuchet MS" w:hAnsi="Trebuchet MS"/>
          <w:bCs/>
          <w:sz w:val="16"/>
          <w:szCs w:val="16"/>
        </w:rPr>
      </w:pPr>
      <w:r w:rsidRPr="002D0C74">
        <w:rPr>
          <w:rFonts w:ascii="Trebuchet MS" w:hAnsi="Trebuchet MS"/>
          <w:bCs/>
          <w:sz w:val="16"/>
          <w:szCs w:val="16"/>
        </w:rPr>
        <w:t>“</w:t>
      </w:r>
      <w:r w:rsidR="000552BF" w:rsidRPr="002D0C74">
        <w:rPr>
          <w:rFonts w:ascii="Trebuchet MS" w:hAnsi="Trebuchet MS"/>
          <w:bCs/>
          <w:sz w:val="16"/>
          <w:szCs w:val="16"/>
        </w:rPr>
        <w:t xml:space="preserve">Il giudice ha l'obbligo di astenersi: </w:t>
      </w:r>
    </w:p>
    <w:p w14:paraId="42955225"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 xml:space="preserve">1) se ha interesse nella causa o in altra vertente su identica questione di diritto; </w:t>
      </w:r>
    </w:p>
    <w:p w14:paraId="757D2F21"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 xml:space="preserve">2) se egli stesso o la moglie è parente fino al quarto grado o legato da vincoli di affiliazione, o è convivente o commensale abituale di una delle parti o di alcuno dei difensori; </w:t>
      </w:r>
    </w:p>
    <w:p w14:paraId="5E85EF16"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 xml:space="preserve">3) se egli stesso o la moglie ha causa pendente o grave inimicizia o rapporti di credito o debito con una delle parti o alcuno dei suoi difensori; </w:t>
      </w:r>
    </w:p>
    <w:p w14:paraId="5332009F"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 xml:space="preserve">4) se ha dato consiglio o prestato patrocinio nella causa, o ha deposto in essa come testimone, oppure ne ha conosciuto come magistrato in altro grado del processo o come arbitro o vi ha prestato assistenza come consulente tecnico; </w:t>
      </w:r>
    </w:p>
    <w:p w14:paraId="404EC79A"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 xml:space="preserve">5) se è tutore, curatore, amministratore di sostegno, procuratore, agente o datore di lavoro di una delle parti; se, inoltre, è amministratore o gerente di un ente, di un'associazione anche non riconosciuta, di un comitato, di una società o stabilimento che ha interesse nella causa. </w:t>
      </w:r>
    </w:p>
    <w:p w14:paraId="294C31BE" w14:textId="77777777" w:rsidR="000552BF" w:rsidRPr="002D0C74" w:rsidRDefault="000552BF" w:rsidP="000552BF">
      <w:pPr>
        <w:spacing w:after="0" w:line="240" w:lineRule="auto"/>
        <w:jc w:val="both"/>
        <w:rPr>
          <w:rFonts w:ascii="Trebuchet MS" w:hAnsi="Trebuchet MS"/>
          <w:bCs/>
          <w:sz w:val="16"/>
          <w:szCs w:val="16"/>
        </w:rPr>
      </w:pPr>
      <w:r w:rsidRPr="002D0C74">
        <w:rPr>
          <w:rFonts w:ascii="Trebuchet MS" w:hAnsi="Trebuchet MS"/>
          <w:bCs/>
          <w:sz w:val="16"/>
          <w:szCs w:val="16"/>
        </w:rPr>
        <w:t>In ogni altro caso in cui esistono gravi ragioni di convenienza, il giudice può richiedere al capo dell'ufficio l'autorizzazione ad astenersi; quando l'astensione riguarda il capo dell'ufficio, l'autorizzazione è chiesta al capo dell'ufficio superiore</w:t>
      </w:r>
      <w:r w:rsidR="001F2743" w:rsidRPr="002D0C74">
        <w:rPr>
          <w:rFonts w:ascii="Trebuchet MS" w:hAnsi="Trebuchet MS"/>
          <w:bCs/>
          <w:sz w:val="16"/>
          <w:szCs w:val="16"/>
        </w:rPr>
        <w:t>”</w:t>
      </w:r>
      <w:r w:rsidRPr="002D0C74">
        <w:rPr>
          <w:rFonts w:ascii="Trebuchet MS" w:hAnsi="Trebuchet MS"/>
          <w:bCs/>
          <w:sz w:val="16"/>
          <w:szCs w:val="16"/>
        </w:rPr>
        <w:t>.</w:t>
      </w:r>
    </w:p>
    <w:p w14:paraId="6B1D14D8" w14:textId="77777777" w:rsidR="00425833" w:rsidRPr="002D0C74" w:rsidRDefault="00CE356D" w:rsidP="00425833">
      <w:pPr>
        <w:spacing w:after="0"/>
        <w:jc w:val="both"/>
        <w:rPr>
          <w:rFonts w:ascii="Trebuchet MS" w:hAnsi="Trebuchet MS"/>
          <w:b/>
          <w:bCs/>
          <w:sz w:val="16"/>
          <w:szCs w:val="16"/>
        </w:rPr>
      </w:pPr>
      <w:r w:rsidRPr="002D0C74">
        <w:rPr>
          <w:rFonts w:ascii="Trebuchet MS" w:eastAsia="Times New Roman" w:hAnsi="Trebuchet MS" w:cs="Tahoma"/>
          <w:b/>
          <w:bCs/>
          <w:sz w:val="16"/>
          <w:szCs w:val="16"/>
          <w:vertAlign w:val="superscript"/>
          <w:lang w:eastAsia="it-IT"/>
        </w:rPr>
        <w:t>6</w:t>
      </w:r>
      <w:r w:rsidR="00425833" w:rsidRPr="002D0C74">
        <w:rPr>
          <w:rFonts w:ascii="Trebuchet MS" w:hAnsi="Trebuchet MS"/>
          <w:b/>
          <w:bCs/>
          <w:sz w:val="16"/>
          <w:szCs w:val="16"/>
        </w:rPr>
        <w:t xml:space="preserve">Art. 52 </w:t>
      </w:r>
      <w:proofErr w:type="gramStart"/>
      <w:r w:rsidR="00425833" w:rsidRPr="002D0C74">
        <w:rPr>
          <w:rFonts w:ascii="Trebuchet MS" w:hAnsi="Trebuchet MS"/>
          <w:b/>
          <w:bCs/>
          <w:sz w:val="16"/>
          <w:szCs w:val="16"/>
        </w:rPr>
        <w:t>c.p.c.</w:t>
      </w:r>
      <w:r w:rsidRPr="002D0C74">
        <w:rPr>
          <w:rFonts w:ascii="Trebuchet MS" w:hAnsi="Trebuchet MS"/>
          <w:b/>
          <w:bCs/>
          <w:sz w:val="16"/>
          <w:szCs w:val="16"/>
        </w:rPr>
        <w:t>.</w:t>
      </w:r>
      <w:proofErr w:type="gramEnd"/>
      <w:r w:rsidRPr="002D0C74">
        <w:rPr>
          <w:rFonts w:ascii="Trebuchet MS" w:hAnsi="Trebuchet MS"/>
          <w:b/>
          <w:bCs/>
          <w:sz w:val="16"/>
          <w:szCs w:val="16"/>
        </w:rPr>
        <w:t xml:space="preserve"> </w:t>
      </w:r>
      <w:r w:rsidR="00425833" w:rsidRPr="002D0C74">
        <w:rPr>
          <w:rFonts w:ascii="Trebuchet MS" w:hAnsi="Trebuchet MS"/>
          <w:b/>
          <w:bCs/>
          <w:sz w:val="16"/>
          <w:szCs w:val="16"/>
        </w:rPr>
        <w:t xml:space="preserve">Ricusazione del giudice. </w:t>
      </w:r>
    </w:p>
    <w:p w14:paraId="55B5A5F8" w14:textId="77777777" w:rsidR="00425833" w:rsidRPr="002D0C74" w:rsidRDefault="000814BB" w:rsidP="00425833">
      <w:pPr>
        <w:pStyle w:val="PreformattatoHTML"/>
        <w:jc w:val="both"/>
        <w:rPr>
          <w:rFonts w:ascii="Trebuchet MS" w:hAnsi="Trebuchet MS"/>
          <w:sz w:val="16"/>
          <w:szCs w:val="16"/>
        </w:rPr>
      </w:pPr>
      <w:r w:rsidRPr="002D0C74">
        <w:rPr>
          <w:rFonts w:ascii="Trebuchet MS" w:hAnsi="Trebuchet MS"/>
          <w:sz w:val="16"/>
          <w:szCs w:val="16"/>
        </w:rPr>
        <w:t>“</w:t>
      </w:r>
      <w:r w:rsidR="00425833" w:rsidRPr="002D0C74">
        <w:rPr>
          <w:rFonts w:ascii="Trebuchet MS" w:hAnsi="Trebuchet MS"/>
          <w:sz w:val="16"/>
          <w:szCs w:val="16"/>
        </w:rPr>
        <w:t xml:space="preserve">Nei casi in cui è fatto obbligo al giudice di astenersi, ciascuna delle parti può proporne la ricusazione mediante ricorso contenente i motivi specifici e i mezzi di prova. </w:t>
      </w:r>
    </w:p>
    <w:p w14:paraId="34ACEC8B" w14:textId="77777777" w:rsidR="00425833" w:rsidRPr="002D0C74" w:rsidRDefault="00425833" w:rsidP="00425833">
      <w:pPr>
        <w:pStyle w:val="PreformattatoHTML"/>
        <w:jc w:val="both"/>
        <w:rPr>
          <w:rFonts w:ascii="Trebuchet MS" w:hAnsi="Trebuchet MS"/>
          <w:sz w:val="16"/>
          <w:szCs w:val="16"/>
        </w:rPr>
      </w:pPr>
      <w:r w:rsidRPr="002D0C74">
        <w:rPr>
          <w:rFonts w:ascii="Trebuchet MS" w:hAnsi="Trebuchet MS"/>
          <w:sz w:val="16"/>
          <w:szCs w:val="16"/>
        </w:rPr>
        <w:t>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w:t>
      </w:r>
      <w:r w:rsidR="00CE356D" w:rsidRPr="002D0C74">
        <w:rPr>
          <w:rFonts w:ascii="Trebuchet MS" w:hAnsi="Trebuchet MS"/>
          <w:sz w:val="16"/>
          <w:szCs w:val="16"/>
        </w:rPr>
        <w:t>.</w:t>
      </w:r>
      <w:r w:rsidRPr="002D0C74">
        <w:rPr>
          <w:rFonts w:ascii="Trebuchet MS" w:hAnsi="Trebuchet MS"/>
          <w:sz w:val="16"/>
          <w:szCs w:val="16"/>
        </w:rPr>
        <w:t xml:space="preserve"> </w:t>
      </w:r>
    </w:p>
    <w:p w14:paraId="68FB54FA" w14:textId="77777777" w:rsidR="00425833" w:rsidRPr="002D0C74" w:rsidRDefault="00425833" w:rsidP="00425833">
      <w:pPr>
        <w:pStyle w:val="PreformattatoHTML"/>
        <w:jc w:val="both"/>
        <w:rPr>
          <w:rFonts w:ascii="Trebuchet MS" w:hAnsi="Trebuchet MS"/>
          <w:sz w:val="16"/>
          <w:szCs w:val="16"/>
        </w:rPr>
      </w:pPr>
      <w:r w:rsidRPr="002D0C74">
        <w:rPr>
          <w:rFonts w:ascii="Trebuchet MS" w:hAnsi="Trebuchet MS"/>
          <w:sz w:val="16"/>
          <w:szCs w:val="16"/>
        </w:rPr>
        <w:t>La ricusazione sospende il processo</w:t>
      </w:r>
      <w:r w:rsidR="00CE356D" w:rsidRPr="002D0C74">
        <w:rPr>
          <w:rFonts w:ascii="Trebuchet MS" w:hAnsi="Trebuchet MS"/>
          <w:sz w:val="16"/>
          <w:szCs w:val="16"/>
        </w:rPr>
        <w:t>”</w:t>
      </w:r>
      <w:r w:rsidRPr="002D0C74">
        <w:rPr>
          <w:rFonts w:ascii="Trebuchet MS" w:hAnsi="Trebuchet MS"/>
          <w:sz w:val="16"/>
          <w:szCs w:val="16"/>
        </w:rPr>
        <w:t xml:space="preserve">. </w:t>
      </w:r>
    </w:p>
    <w:p w14:paraId="0CF7FBC6" w14:textId="77777777" w:rsidR="000552BF" w:rsidRPr="002D0C74" w:rsidRDefault="00CE356D" w:rsidP="007B23D0">
      <w:pPr>
        <w:spacing w:after="0"/>
        <w:jc w:val="both"/>
        <w:rPr>
          <w:rFonts w:ascii="Trebuchet MS" w:hAnsi="Trebuchet MS" w:cs="Tahoma"/>
          <w:b/>
          <w:bCs/>
          <w:sz w:val="16"/>
          <w:szCs w:val="16"/>
        </w:rPr>
      </w:pPr>
      <w:r w:rsidRPr="002D0C74">
        <w:rPr>
          <w:rFonts w:ascii="Trebuchet MS" w:eastAsia="Times New Roman" w:hAnsi="Trebuchet MS" w:cs="Tahoma"/>
          <w:b/>
          <w:bCs/>
          <w:sz w:val="16"/>
          <w:szCs w:val="16"/>
          <w:vertAlign w:val="superscript"/>
          <w:lang w:eastAsia="it-IT"/>
        </w:rPr>
        <w:t>7</w:t>
      </w:r>
      <w:r w:rsidR="003E01FD" w:rsidRPr="002D0C74">
        <w:rPr>
          <w:rFonts w:ascii="Trebuchet MS" w:hAnsi="Trebuchet MS" w:cs="Tahoma"/>
          <w:b/>
          <w:bCs/>
          <w:sz w:val="16"/>
          <w:szCs w:val="16"/>
        </w:rPr>
        <w:t>Delibera ANAC n. 209 del 1° marzo 2017</w:t>
      </w:r>
      <w:r w:rsidR="00780D21" w:rsidRPr="002D0C74">
        <w:rPr>
          <w:rFonts w:ascii="Trebuchet MS" w:hAnsi="Trebuchet MS" w:cs="Tahoma"/>
          <w:b/>
          <w:bCs/>
          <w:sz w:val="16"/>
          <w:szCs w:val="16"/>
        </w:rPr>
        <w:t>. Tipologia di rapporti</w:t>
      </w:r>
    </w:p>
    <w:p w14:paraId="2082A58F" w14:textId="77777777" w:rsidR="000552BF" w:rsidRPr="002D0C74" w:rsidRDefault="001F2743" w:rsidP="00780D21">
      <w:pPr>
        <w:pStyle w:val="PreformattatoHTML"/>
        <w:jc w:val="both"/>
        <w:rPr>
          <w:rFonts w:ascii="Trebuchet MS" w:hAnsi="Trebuchet MS"/>
          <w:sz w:val="16"/>
          <w:szCs w:val="16"/>
        </w:rPr>
      </w:pPr>
      <w:r w:rsidRPr="002D0C74">
        <w:rPr>
          <w:rFonts w:ascii="Trebuchet MS" w:hAnsi="Trebuchet MS"/>
          <w:sz w:val="16"/>
          <w:szCs w:val="16"/>
        </w:rPr>
        <w:t>“</w:t>
      </w:r>
      <w:r w:rsidR="00780D21" w:rsidRPr="002D0C74">
        <w:rPr>
          <w:rFonts w:ascii="Trebuchet MS" w:hAnsi="Trebuchet MS"/>
          <w:sz w:val="16"/>
          <w:szCs w:val="16"/>
        </w:rPr>
        <w:t xml:space="preserve">Ai fini della sussistenza di un conflitto di interessi tra un componente della commissione di concorso e un candidato, la collaborazione professionale o la comunanza di vita, per assurgere a causa di incompatibilità, così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 un vero e </w:t>
      </w:r>
      <w:r w:rsidR="00FE1E7D" w:rsidRPr="002D0C74">
        <w:rPr>
          <w:rFonts w:ascii="Trebuchet MS" w:hAnsi="Trebuchet MS"/>
          <w:sz w:val="16"/>
          <w:szCs w:val="16"/>
        </w:rPr>
        <w:t>proprio sodalizio professionale</w:t>
      </w:r>
      <w:r w:rsidRPr="002D0C74">
        <w:rPr>
          <w:rFonts w:ascii="Trebuchet MS" w:hAnsi="Trebuchet MS"/>
          <w:sz w:val="16"/>
          <w:szCs w:val="16"/>
        </w:rPr>
        <w:t>”</w:t>
      </w:r>
      <w:r w:rsidR="00FE1E7D" w:rsidRPr="002D0C74">
        <w:rPr>
          <w:rFonts w:ascii="Trebuchet MS" w:hAnsi="Trebuchet MS"/>
          <w:sz w:val="16"/>
          <w:szCs w:val="16"/>
        </w:rPr>
        <w:t>.</w:t>
      </w:r>
    </w:p>
    <w:p w14:paraId="4F16357E" w14:textId="77777777" w:rsidR="00133F89" w:rsidRPr="002D0C74" w:rsidRDefault="00CE356D" w:rsidP="00133F89">
      <w:pPr>
        <w:spacing w:after="0"/>
        <w:jc w:val="both"/>
        <w:rPr>
          <w:rFonts w:ascii="Trebuchet MS" w:eastAsia="Times New Roman" w:hAnsi="Trebuchet MS" w:cs="Tahoma"/>
          <w:b/>
          <w:bCs/>
          <w:sz w:val="16"/>
          <w:szCs w:val="16"/>
          <w:vertAlign w:val="superscript"/>
          <w:lang w:eastAsia="it-IT"/>
        </w:rPr>
      </w:pPr>
      <w:r w:rsidRPr="002D0C74">
        <w:rPr>
          <w:rFonts w:ascii="Trebuchet MS" w:eastAsia="Times New Roman" w:hAnsi="Trebuchet MS" w:cs="Tahoma"/>
          <w:b/>
          <w:bCs/>
          <w:sz w:val="16"/>
          <w:szCs w:val="16"/>
          <w:vertAlign w:val="superscript"/>
          <w:lang w:eastAsia="it-IT"/>
        </w:rPr>
        <w:t>8</w:t>
      </w:r>
      <w:r w:rsidR="00133F89" w:rsidRPr="002D0C74">
        <w:rPr>
          <w:rFonts w:ascii="Trebuchet MS" w:hAnsi="Trebuchet MS" w:cs="Tahoma"/>
          <w:b/>
          <w:bCs/>
          <w:sz w:val="16"/>
          <w:szCs w:val="16"/>
        </w:rPr>
        <w:t xml:space="preserve">Delibera ANAC n. </w:t>
      </w:r>
      <w:r w:rsidR="001F2743" w:rsidRPr="002D0C74">
        <w:rPr>
          <w:rFonts w:ascii="Trebuchet MS" w:hAnsi="Trebuchet MS" w:cs="Tahoma"/>
          <w:b/>
          <w:bCs/>
          <w:sz w:val="16"/>
          <w:szCs w:val="16"/>
        </w:rPr>
        <w:t>1208 del 22 novembre 2017</w:t>
      </w:r>
      <w:r w:rsidR="00133F89" w:rsidRPr="002D0C74">
        <w:rPr>
          <w:rFonts w:ascii="Trebuchet MS" w:hAnsi="Trebuchet MS" w:cs="Tahoma"/>
          <w:b/>
          <w:bCs/>
          <w:sz w:val="16"/>
          <w:szCs w:val="16"/>
        </w:rPr>
        <w:t>. Tipologia di rapporti</w:t>
      </w:r>
    </w:p>
    <w:p w14:paraId="220EF4BF" w14:textId="77777777" w:rsidR="00133F89" w:rsidRPr="002D0C74" w:rsidRDefault="001F2743" w:rsidP="00831C11">
      <w:pPr>
        <w:pStyle w:val="PreformattatoHTML"/>
        <w:jc w:val="both"/>
        <w:rPr>
          <w:rFonts w:ascii="Trebuchet MS" w:hAnsi="Trebuchet MS"/>
          <w:sz w:val="16"/>
          <w:szCs w:val="16"/>
        </w:rPr>
      </w:pPr>
      <w:r w:rsidRPr="002D0C74">
        <w:rPr>
          <w:rFonts w:ascii="Trebuchet MS" w:hAnsi="Trebuchet MS"/>
          <w:sz w:val="16"/>
          <w:szCs w:val="16"/>
        </w:rPr>
        <w:t>“Occorre, inoltre, richiamare l’orientamento giurisprudenziale che ha ritenuto che l’esistenza di cointeressenze di carattere economico non esaurisce il novero delle ipotesi in cui può configurarsi un obbligo di astensione in capo al singolo commissario, pur rappresentandone una delle ipotesi più sintomatiche e ricorrenti nella pratica, e che l’applicazione alle operazioni valutative dei generali canoni di imparzialità, obiettività e trasparenza impone di guardare con particolare rigore alle forme più intense e continuative di collaborazione, specialmente se caratterizzate da forme di sostanziale esclusività. Secondo il Consiglio di Stato, in tale ipotesi sussiste un obbligo di astensione laddove emergano indizi concreti di un rapporto personale di tale intensità da fare sorgere il sospetto che il giudizio possa essere improntato al rispetto del principio di imparzialità, quale – ad esempio – “la circostanza per cui uno dei commissari sia coautore della quasi totalità delle pubblicazioni di uno dei candidati”.</w:t>
      </w:r>
    </w:p>
    <w:p w14:paraId="32D0124A" w14:textId="77777777" w:rsidR="00133F89" w:rsidRPr="002D0C74" w:rsidRDefault="00133F89">
      <w:pPr>
        <w:rPr>
          <w:rFonts w:ascii="Trebuchet MS" w:hAnsi="Trebuchet MS"/>
        </w:rPr>
      </w:pPr>
      <w:bookmarkStart w:id="1" w:name="_GoBack"/>
      <w:bookmarkEnd w:id="1"/>
    </w:p>
    <w:sectPr w:rsidR="00133F89" w:rsidRPr="002D0C74" w:rsidSect="009B31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78B0" w14:textId="77777777" w:rsidR="00DE27C9" w:rsidRDefault="00DE27C9" w:rsidP="00564EC0">
      <w:pPr>
        <w:spacing w:after="0" w:line="240" w:lineRule="auto"/>
      </w:pPr>
      <w:r>
        <w:separator/>
      </w:r>
    </w:p>
  </w:endnote>
  <w:endnote w:type="continuationSeparator" w:id="0">
    <w:p w14:paraId="3CC90F6A" w14:textId="77777777" w:rsidR="00DE27C9" w:rsidRDefault="00DE27C9" w:rsidP="0056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6A84" w14:textId="77777777" w:rsidR="00DE27C9" w:rsidRDefault="00DE27C9" w:rsidP="00564EC0">
      <w:pPr>
        <w:spacing w:after="0" w:line="240" w:lineRule="auto"/>
      </w:pPr>
      <w:r>
        <w:separator/>
      </w:r>
    </w:p>
  </w:footnote>
  <w:footnote w:type="continuationSeparator" w:id="0">
    <w:p w14:paraId="4F406285" w14:textId="77777777" w:rsidR="00DE27C9" w:rsidRDefault="00DE27C9" w:rsidP="00564EC0">
      <w:pPr>
        <w:spacing w:after="0" w:line="240" w:lineRule="auto"/>
      </w:pPr>
      <w:r>
        <w:continuationSeparator/>
      </w:r>
    </w:p>
  </w:footnote>
  <w:footnote w:id="1">
    <w:p w14:paraId="026FEC77" w14:textId="6911747D" w:rsidR="003A12A0" w:rsidRPr="003A12A0" w:rsidRDefault="003A12A0" w:rsidP="003A12A0">
      <w:pPr>
        <w:pStyle w:val="Paragrafoelenco"/>
        <w:spacing w:after="120" w:line="360" w:lineRule="auto"/>
        <w:ind w:left="714"/>
        <w:jc w:val="both"/>
        <w:rPr>
          <w:rFonts w:ascii="Trebuchet MS" w:hAnsi="Trebuchet MS"/>
          <w:sz w:val="16"/>
          <w:szCs w:val="16"/>
        </w:rPr>
      </w:pPr>
      <w:r>
        <w:rPr>
          <w:rStyle w:val="Rimandonotaapidipagina"/>
        </w:rPr>
        <w:footnoteRef/>
      </w:r>
      <w:r>
        <w:t xml:space="preserve"> </w:t>
      </w:r>
      <w:r w:rsidRPr="003A12A0">
        <w:rPr>
          <w:rFonts w:ascii="Trebuchet MS" w:hAnsi="Trebuchet MS"/>
          <w:sz w:val="16"/>
          <w:szCs w:val="16"/>
        </w:rPr>
        <w:t>di rendere noto che con il/i concorrente/i sotto indicato/i sono in corso e/o sono intercorsi le seguenti tipologie di rapporto (art. 51 c.p.c.</w:t>
      </w:r>
      <w:r w:rsidRPr="003A12A0">
        <w:rPr>
          <w:rFonts w:ascii="Trebuchet MS" w:hAnsi="Trebuchet MS"/>
          <w:sz w:val="16"/>
          <w:szCs w:val="16"/>
          <w:vertAlign w:val="superscript"/>
        </w:rPr>
        <w:t xml:space="preserve">  </w:t>
      </w:r>
      <w:r w:rsidRPr="003A12A0">
        <w:rPr>
          <w:rFonts w:ascii="Trebuchet MS" w:hAnsi="Trebuchet MS"/>
          <w:sz w:val="16"/>
          <w:szCs w:val="16"/>
        </w:rPr>
        <w:t>e delibere ANAC n. 209</w:t>
      </w:r>
      <w:r w:rsidRPr="003A12A0">
        <w:rPr>
          <w:rFonts w:ascii="Trebuchet MS" w:hAnsi="Trebuchet MS"/>
          <w:sz w:val="16"/>
          <w:szCs w:val="16"/>
          <w:vertAlign w:val="superscript"/>
        </w:rPr>
        <w:t>7</w:t>
      </w:r>
      <w:r w:rsidRPr="003A12A0">
        <w:rPr>
          <w:rFonts w:ascii="Trebuchet MS" w:hAnsi="Trebuchet MS"/>
          <w:sz w:val="16"/>
          <w:szCs w:val="16"/>
        </w:rPr>
        <w:t xml:space="preserve"> e 1208</w:t>
      </w:r>
      <w:r w:rsidRPr="003A12A0">
        <w:rPr>
          <w:rFonts w:ascii="Trebuchet MS" w:hAnsi="Trebuchet MS"/>
          <w:sz w:val="16"/>
          <w:szCs w:val="16"/>
          <w:vertAlign w:val="superscript"/>
        </w:rPr>
        <w:t>8</w:t>
      </w:r>
      <w:r w:rsidRPr="003A12A0">
        <w:rPr>
          <w:rFonts w:ascii="Trebuchet MS" w:hAnsi="Trebuchet MS"/>
          <w:sz w:val="16"/>
          <w:szCs w:val="16"/>
        </w:rPr>
        <w:t xml:space="preserve"> del 2017):</w:t>
      </w:r>
    </w:p>
    <w:p w14:paraId="1ACF42FC" w14:textId="77777777" w:rsidR="003A12A0" w:rsidRPr="002D0C74" w:rsidRDefault="003A12A0" w:rsidP="003A12A0">
      <w:pPr>
        <w:spacing w:after="0"/>
        <w:ind w:left="709"/>
        <w:jc w:val="both"/>
        <w:rPr>
          <w:rFonts w:ascii="Trebuchet MS" w:hAnsi="Trebuchet MS"/>
          <w:sz w:val="16"/>
          <w:szCs w:val="16"/>
        </w:rPr>
      </w:pPr>
      <w:r w:rsidRPr="003A12A0">
        <w:rPr>
          <w:rFonts w:ascii="Trebuchet MS" w:hAnsi="Trebuchet MS"/>
          <w:sz w:val="16"/>
          <w:szCs w:val="16"/>
        </w:rPr>
        <w:t>Concorren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FFA42" w14:textId="22E632A8" w:rsidR="003A12A0" w:rsidRDefault="003A12A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D3A"/>
    <w:multiLevelType w:val="hybridMultilevel"/>
    <w:tmpl w:val="22CC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9E30B5"/>
    <w:multiLevelType w:val="hybridMultilevel"/>
    <w:tmpl w:val="A072DF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5D"/>
    <w:rsid w:val="000018C4"/>
    <w:rsid w:val="000461ED"/>
    <w:rsid w:val="000552BF"/>
    <w:rsid w:val="000814BB"/>
    <w:rsid w:val="00092FC2"/>
    <w:rsid w:val="000E5707"/>
    <w:rsid w:val="00133F89"/>
    <w:rsid w:val="00142B80"/>
    <w:rsid w:val="00151742"/>
    <w:rsid w:val="001A7316"/>
    <w:rsid w:val="001F2743"/>
    <w:rsid w:val="002D0C74"/>
    <w:rsid w:val="003A12A0"/>
    <w:rsid w:val="003E01FD"/>
    <w:rsid w:val="003F627C"/>
    <w:rsid w:val="00425833"/>
    <w:rsid w:val="0047587D"/>
    <w:rsid w:val="00564EC0"/>
    <w:rsid w:val="006677EA"/>
    <w:rsid w:val="00780D21"/>
    <w:rsid w:val="007B23D0"/>
    <w:rsid w:val="007E2EF2"/>
    <w:rsid w:val="00831C11"/>
    <w:rsid w:val="00860717"/>
    <w:rsid w:val="009B3132"/>
    <w:rsid w:val="009C0552"/>
    <w:rsid w:val="009C0C5D"/>
    <w:rsid w:val="009C3A43"/>
    <w:rsid w:val="009D0E93"/>
    <w:rsid w:val="009E533F"/>
    <w:rsid w:val="00A01F17"/>
    <w:rsid w:val="00A20DCB"/>
    <w:rsid w:val="00A3139F"/>
    <w:rsid w:val="00AB33BD"/>
    <w:rsid w:val="00C07E81"/>
    <w:rsid w:val="00C16849"/>
    <w:rsid w:val="00C658B9"/>
    <w:rsid w:val="00CE356D"/>
    <w:rsid w:val="00D021C2"/>
    <w:rsid w:val="00D10E82"/>
    <w:rsid w:val="00D84CA4"/>
    <w:rsid w:val="00D94399"/>
    <w:rsid w:val="00DE27C9"/>
    <w:rsid w:val="00DF481A"/>
    <w:rsid w:val="00E23B7C"/>
    <w:rsid w:val="00E5240A"/>
    <w:rsid w:val="00F87BD1"/>
    <w:rsid w:val="00FC1AC3"/>
    <w:rsid w:val="00FE1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94E5"/>
  <w15:docId w15:val="{9D9CCACF-DA47-4078-9715-73FBB47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2B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52BF"/>
    <w:pPr>
      <w:ind w:left="720"/>
      <w:contextualSpacing/>
    </w:pPr>
  </w:style>
  <w:style w:type="paragraph" w:styleId="NormaleWeb">
    <w:name w:val="Normal (Web)"/>
    <w:basedOn w:val="Normale"/>
    <w:uiPriority w:val="99"/>
    <w:semiHidden/>
    <w:unhideWhenUsed/>
    <w:rsid w:val="000552B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0552BF"/>
  </w:style>
  <w:style w:type="paragraph" w:styleId="PreformattatoHTML">
    <w:name w:val="HTML Preformatted"/>
    <w:basedOn w:val="Normale"/>
    <w:link w:val="PreformattatoHTMLCarattere"/>
    <w:uiPriority w:val="99"/>
    <w:semiHidden/>
    <w:unhideWhenUsed/>
    <w:rsid w:val="0005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552BF"/>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564E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4EC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564EC0"/>
    <w:rPr>
      <w:vertAlign w:val="superscript"/>
    </w:rPr>
  </w:style>
  <w:style w:type="paragraph" w:styleId="Testofumetto">
    <w:name w:val="Balloon Text"/>
    <w:basedOn w:val="Normale"/>
    <w:link w:val="TestofumettoCarattere"/>
    <w:uiPriority w:val="99"/>
    <w:semiHidden/>
    <w:unhideWhenUsed/>
    <w:rsid w:val="009D0E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E93"/>
    <w:rPr>
      <w:rFonts w:ascii="Segoe UI" w:eastAsia="Calibri" w:hAnsi="Segoe UI" w:cs="Segoe UI"/>
      <w:sz w:val="18"/>
      <w:szCs w:val="18"/>
    </w:rPr>
  </w:style>
  <w:style w:type="character" w:styleId="Collegamentoipertestuale">
    <w:name w:val="Hyperlink"/>
    <w:basedOn w:val="Carpredefinitoparagrafo"/>
    <w:uiPriority w:val="99"/>
    <w:semiHidden/>
    <w:unhideWhenUsed/>
    <w:rsid w:val="00425833"/>
    <w:rPr>
      <w:color w:val="0563C1" w:themeColor="hyperlink"/>
      <w:u w:val="single"/>
    </w:rPr>
  </w:style>
  <w:style w:type="character" w:styleId="Rimandocommento">
    <w:name w:val="annotation reference"/>
    <w:basedOn w:val="Carpredefinitoparagrafo"/>
    <w:uiPriority w:val="99"/>
    <w:semiHidden/>
    <w:unhideWhenUsed/>
    <w:rsid w:val="002D0C74"/>
    <w:rPr>
      <w:sz w:val="16"/>
      <w:szCs w:val="16"/>
    </w:rPr>
  </w:style>
  <w:style w:type="paragraph" w:styleId="Testocommento">
    <w:name w:val="annotation text"/>
    <w:basedOn w:val="Normale"/>
    <w:link w:val="TestocommentoCarattere"/>
    <w:uiPriority w:val="99"/>
    <w:semiHidden/>
    <w:unhideWhenUsed/>
    <w:rsid w:val="002D0C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0C74"/>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D0C74"/>
    <w:rPr>
      <w:b/>
      <w:bCs/>
    </w:rPr>
  </w:style>
  <w:style w:type="character" w:customStyle="1" w:styleId="SoggettocommentoCarattere">
    <w:name w:val="Soggetto commento Carattere"/>
    <w:basedOn w:val="TestocommentoCarattere"/>
    <w:link w:val="Soggettocommento"/>
    <w:uiPriority w:val="99"/>
    <w:semiHidden/>
    <w:rsid w:val="002D0C7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0420-F125-4216-A9CF-7D7437F3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Milano</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 DONATELLA</dc:creator>
  <cp:lastModifiedBy>Luigi Vasi</cp:lastModifiedBy>
  <cp:revision>3</cp:revision>
  <cp:lastPrinted>2019-05-14T07:33:00Z</cp:lastPrinted>
  <dcterms:created xsi:type="dcterms:W3CDTF">2020-04-07T08:53:00Z</dcterms:created>
  <dcterms:modified xsi:type="dcterms:W3CDTF">2020-04-07T09:04:00Z</dcterms:modified>
</cp:coreProperties>
</file>