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3FBF">
      <w:pPr>
        <w:pStyle w:val="NormaleWeb"/>
        <w:rPr>
          <w:rFonts w:cs="Times New Roman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Milano, 19.11.98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CIRCOLARE N. 2797</w:t>
      </w:r>
      <w:r>
        <w:rPr>
          <w:rFonts w:ascii="Arial" w:hAnsi="Arial" w:cs="Arial"/>
          <w:sz w:val="20"/>
          <w:szCs w:val="20"/>
        </w:rPr>
        <w:br/>
        <w:t>N. Prot.S/20244 IV/II/AA/ADM/gmf</w:t>
      </w:r>
    </w:p>
    <w:p w:rsidR="00000000" w:rsidRDefault="00693FBF">
      <w:pPr>
        <w:pStyle w:val="NormaleWeb"/>
        <w:jc w:val="right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A TUTTO IL PERSONALE NON DOCENTE</w:t>
      </w:r>
      <w:r>
        <w:rPr>
          <w:rFonts w:ascii="Arial" w:hAnsi="Arial" w:cs="Arial"/>
          <w:sz w:val="20"/>
          <w:szCs w:val="20"/>
        </w:rPr>
        <w:br/>
        <w:t>LORO SEDI</w:t>
      </w:r>
      <w:r>
        <w:rPr>
          <w:rFonts w:ascii="Arial" w:hAnsi="Arial" w:cs="Arial"/>
          <w:sz w:val="20"/>
          <w:szCs w:val="20"/>
        </w:rPr>
        <w:br/>
        <w:t>AI SIGG. PRESIDI DI FACOLTA’</w:t>
      </w:r>
      <w:r>
        <w:rPr>
          <w:rFonts w:ascii="Arial" w:hAnsi="Arial" w:cs="Arial"/>
          <w:sz w:val="20"/>
          <w:szCs w:val="20"/>
        </w:rPr>
        <w:br/>
        <w:t>AI SIGG. DIRETTORI DI DIPARTIMENTO</w:t>
      </w:r>
      <w:r>
        <w:rPr>
          <w:rFonts w:ascii="Arial" w:hAnsi="Arial" w:cs="Arial"/>
          <w:sz w:val="20"/>
          <w:szCs w:val="20"/>
        </w:rPr>
        <w:br/>
        <w:t>AI SEGRETARI DI DIPARTIMENTO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AI SIGG. DIRETTORI DI ISTITUTO</w:t>
      </w:r>
      <w:r>
        <w:rPr>
          <w:rFonts w:ascii="Arial" w:hAnsi="Arial" w:cs="Arial"/>
          <w:sz w:val="20"/>
          <w:szCs w:val="20"/>
        </w:rPr>
        <w:br/>
        <w:t>AI SIGG. CAPI DIVISIONE E</w:t>
      </w:r>
      <w:r>
        <w:rPr>
          <w:rFonts w:ascii="Arial" w:hAnsi="Arial" w:cs="Arial"/>
          <w:sz w:val="20"/>
          <w:szCs w:val="20"/>
        </w:rPr>
        <w:br/>
        <w:t>RESPONSABILI DEI SERVIZI</w:t>
      </w:r>
      <w:r>
        <w:rPr>
          <w:rFonts w:ascii="Arial" w:hAnsi="Arial" w:cs="Arial"/>
          <w:sz w:val="20"/>
          <w:szCs w:val="20"/>
        </w:rPr>
        <w:br/>
        <w:t>LORO SEDI</w:t>
      </w:r>
    </w:p>
    <w:p w:rsidR="00000000" w:rsidRDefault="00693FBF">
      <w:pPr>
        <w:pStyle w:val="NormaleWeb"/>
        <w:rPr>
          <w:rFonts w:cs="Times New Roman"/>
        </w:rPr>
      </w:pPr>
      <w:r>
        <w:t> </w:t>
      </w:r>
    </w:p>
    <w:p w:rsidR="00000000" w:rsidRDefault="00693FBF">
      <w:pPr>
        <w:pStyle w:val="NormaleWeb"/>
        <w:jc w:val="right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e, per conoscenza:</w:t>
      </w:r>
      <w:r>
        <w:rPr>
          <w:rFonts w:ascii="Arial" w:hAnsi="Arial" w:cs="Arial"/>
          <w:sz w:val="20"/>
          <w:szCs w:val="20"/>
        </w:rPr>
        <w:br/>
        <w:t>ALLE ORGANIZZAZIONI SINDACALI</w:t>
      </w:r>
      <w:r>
        <w:rPr>
          <w:rFonts w:ascii="Arial" w:hAnsi="Arial" w:cs="Arial"/>
          <w:sz w:val="20"/>
          <w:szCs w:val="20"/>
        </w:rPr>
        <w:br/>
        <w:t>R.S.U.P. - C.G.I.L. - C.I.S.L. - U.I.L</w:t>
      </w:r>
      <w:r>
        <w:rPr>
          <w:rFonts w:ascii="Arial" w:hAnsi="Arial" w:cs="Arial"/>
          <w:sz w:val="20"/>
          <w:szCs w:val="20"/>
        </w:rPr>
        <w:br/>
        <w:t>R.d.B. - CISAPUNI</w:t>
      </w:r>
      <w:r>
        <w:rPr>
          <w:rFonts w:ascii="Arial" w:hAnsi="Arial" w:cs="Arial"/>
          <w:sz w:val="20"/>
          <w:szCs w:val="20"/>
        </w:rPr>
        <w:br/>
        <w:t>LORO SEDI</w:t>
      </w:r>
    </w:p>
    <w:p w:rsidR="00000000" w:rsidRDefault="00693FBF">
      <w:pPr>
        <w:pStyle w:val="NormaleWeb"/>
        <w:rPr>
          <w:rFonts w:cs="Times New Roman"/>
        </w:rPr>
      </w:pP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OGGETTO: Accordo decentrato sull’orario di la</w:t>
      </w:r>
      <w:r>
        <w:rPr>
          <w:rFonts w:ascii="Arial" w:hAnsi="Arial" w:cs="Arial"/>
          <w:sz w:val="20"/>
          <w:szCs w:val="20"/>
        </w:rPr>
        <w:t>voro.</w:t>
      </w:r>
      <w:r>
        <w:rPr>
          <w:rFonts w:ascii="Arial" w:hAnsi="Arial" w:cs="Arial"/>
          <w:sz w:val="20"/>
          <w:szCs w:val="20"/>
        </w:rPr>
        <w:br/>
        <w:t>                  Contratto e modello di domanda.</w:t>
      </w:r>
    </w:p>
    <w:p w:rsidR="00000000" w:rsidRDefault="00693FBF">
      <w:pPr>
        <w:pStyle w:val="NormaleWeb"/>
        <w:rPr>
          <w:rFonts w:cs="Times New Roman"/>
        </w:rPr>
      </w:pPr>
      <w:r>
        <w:t> 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Nella trattativa in corso tra parte pubblica e OO.SS. per la definizione del contratto collettivo decentrato di lavoro, il 28 ottobre u.s. è stato raggiunto un accordo in materia di orario di lavoro</w:t>
      </w:r>
      <w:r>
        <w:rPr>
          <w:rFonts w:ascii="Arial" w:hAnsi="Arial" w:cs="Arial"/>
          <w:sz w:val="20"/>
          <w:szCs w:val="20"/>
        </w:rPr>
        <w:t xml:space="preserve"> che introduce una maggiore flessibilità per alcuni dipendenti con obiettive esigenze familiari. Nell’accordo sono state inoltre riportate le modalità e i criteri per la definizione di orari standard e di quelli derivanti da particolari esigenze di servizi</w:t>
      </w:r>
      <w:r>
        <w:rPr>
          <w:rFonts w:ascii="Arial" w:hAnsi="Arial" w:cs="Arial"/>
          <w:sz w:val="20"/>
          <w:szCs w:val="20"/>
        </w:rPr>
        <w:t>o, criteri che risultavano già operanti sulla base di precedenti disposizioni emanate con apposite circolari. E’ tuttavia opportuno richiamare l’attenzione dei responsabili delle Strutture sull’opportunità di sottoporre a verifica gli orari lavoro attualme</w:t>
      </w:r>
      <w:r>
        <w:rPr>
          <w:rFonts w:ascii="Arial" w:hAnsi="Arial" w:cs="Arial"/>
          <w:sz w:val="20"/>
          <w:szCs w:val="20"/>
        </w:rPr>
        <w:t>nte in vigore in modo che essi risultino coerenti con i principi stabiliti con l’accordo del 28 ottobre 1998.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L’accordo sull’orario di lavoro prevede condizioni di maggiore flessibilità e alcune agevolazioni nello svolgimento dell’orario di lavoro per i di</w:t>
      </w:r>
      <w:r>
        <w:rPr>
          <w:rFonts w:ascii="Arial" w:hAnsi="Arial" w:cs="Arial"/>
          <w:sz w:val="20"/>
          <w:szCs w:val="20"/>
        </w:rPr>
        <w:t xml:space="preserve">pendenti che hanno figli d’età inferiore a 3 anni, dai 3 agli 11 anni, e per i dipendenti che hanno diritto all’applicazione dei benefici della legge 104/92, prestando assistenza a soggetti portatori di handicap in situazione di gravità. 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La maggiore fless</w:t>
      </w:r>
      <w:r>
        <w:rPr>
          <w:rFonts w:ascii="Arial" w:hAnsi="Arial" w:cs="Arial"/>
          <w:sz w:val="20"/>
          <w:szCs w:val="20"/>
        </w:rPr>
        <w:t>ibilità per queste tipologie di dipendenti si realizza, a seconda dei casi, con l’introduzione di una pausa mensa ridotta, con conseguente anticipo dell’uscita giornaliera, di permessi orari per esigenze familiari oltre i limiti fissati dal CCNL anche in a</w:t>
      </w:r>
      <w:r>
        <w:rPr>
          <w:rFonts w:ascii="Arial" w:hAnsi="Arial" w:cs="Arial"/>
          <w:sz w:val="20"/>
          <w:szCs w:val="20"/>
        </w:rPr>
        <w:t>ssenza di un credito orario e, per il solo personale di cui ai punti a) e b) dell’Accordo, è prevista l’introduzione per periodi limitati di tempo, dell’orario di lavoro continuato di durata non inferiore a sei ore e la flessibilità oraria anche in uscita.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Tali nuove possibilità saranno operative a partire dal 1.12.1998 e potranno essere richieste dal personale a tempo pieno e con orario di lavoro spezzato, con una pausa non inferiore a 45 minuti, che si trovi nelle condizioni di cui ai punti a), b) e c) d</w:t>
      </w:r>
      <w:r>
        <w:rPr>
          <w:rFonts w:ascii="Arial" w:hAnsi="Arial" w:cs="Arial"/>
          <w:sz w:val="20"/>
          <w:szCs w:val="20"/>
        </w:rPr>
        <w:t>ell’accordo del 28/10/1998.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Il personale a tempo pieno che è chiamato a svolgere l’orario di lavoro con modalità diverse da quelle sopra richiamate potrà avvalersi della sola facoltà di utilizzare il cumulo di debito orario previsto dall’accordo.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lastRenderedPageBreak/>
        <w:t>Di seguit</w:t>
      </w:r>
      <w:r>
        <w:rPr>
          <w:rFonts w:ascii="Arial" w:hAnsi="Arial" w:cs="Arial"/>
          <w:sz w:val="20"/>
          <w:szCs w:val="20"/>
        </w:rPr>
        <w:t>o sono riportate le modalità con cui sarà possibile accedere alle flessibilità introdotte: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- gli interessati ogni anno devono produrre una domanda, indirizzata al Direttore Amministrativo e con il visto dal responsabile della Struttura, utilizzando il mode</w:t>
      </w:r>
      <w:r>
        <w:rPr>
          <w:rFonts w:ascii="Arial" w:hAnsi="Arial" w:cs="Arial"/>
          <w:sz w:val="20"/>
          <w:szCs w:val="20"/>
        </w:rPr>
        <w:t>llo di richiesta allegato;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- la domanda dovrà essere completata con la documentazione necessaria a far rilevare il possesso dei requisiti previsti dall’accordo. A questo proposito gli interessati possono far riferimento ai dati già in possesso dell’Amminis</w:t>
      </w:r>
      <w:r>
        <w:rPr>
          <w:rFonts w:ascii="Arial" w:hAnsi="Arial" w:cs="Arial"/>
          <w:sz w:val="20"/>
          <w:szCs w:val="20"/>
        </w:rPr>
        <w:t>trazione. Il personale che si avvale dei benefici di cui alla legge 104/92 non dovrà produrre alcuna documentazione in quanto l’Amministrazione procederà alla verifica d’ufficio;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 xml:space="preserve">- l’effettuazione dell’orario continuato, ove ammesso (nel limite massimo di </w:t>
      </w:r>
      <w:r>
        <w:rPr>
          <w:rFonts w:ascii="Arial" w:hAnsi="Arial" w:cs="Arial"/>
          <w:sz w:val="20"/>
          <w:szCs w:val="20"/>
        </w:rPr>
        <w:t>30 giorni per anno solare), dovrà essere segnalato mediante l’utilizzo dell’attuale modello dei permessi, avendo cura di indicare il periodo in cui non si effettuerà la pausa e di segnalare nello spazio per la richiesta di ulteriori permessi la seguente no</w:t>
      </w:r>
      <w:r>
        <w:rPr>
          <w:rFonts w:ascii="Arial" w:hAnsi="Arial" w:cs="Arial"/>
          <w:sz w:val="20"/>
          <w:szCs w:val="20"/>
        </w:rPr>
        <w:t>tazione: "</w:t>
      </w:r>
      <w:r>
        <w:rPr>
          <w:rFonts w:ascii="Arial" w:hAnsi="Arial" w:cs="Arial"/>
          <w:i/>
          <w:iCs/>
          <w:sz w:val="20"/>
          <w:szCs w:val="20"/>
        </w:rPr>
        <w:t>ai sensi del contratto decentrato stipulato il 28/10/98</w:t>
      </w:r>
      <w:r>
        <w:rPr>
          <w:rFonts w:ascii="Arial" w:hAnsi="Arial" w:cs="Arial"/>
          <w:sz w:val="20"/>
          <w:szCs w:val="20"/>
        </w:rPr>
        <w:t>";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- la flessibilità in entrata e in uscita derivanti dall’accordo e l’accumulo del debito orario nei limiti previsti verranno verificati d’ufficio;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- il recupero dei permessi orari dovrà avv</w:t>
      </w:r>
      <w:r>
        <w:rPr>
          <w:rFonts w:ascii="Arial" w:hAnsi="Arial" w:cs="Arial"/>
          <w:sz w:val="20"/>
          <w:szCs w:val="20"/>
        </w:rPr>
        <w:t>enire entro il 31 dicembre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ciascun anno, non sarà possibile alcuna deroga;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- nei casi in cui entrambi i coniugi siano dipendenti il beneficio potrà essere richiesto da uno solo dei due.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La riduzione della pausa a trenta minuti non modifica il diritto al</w:t>
      </w:r>
      <w:r>
        <w:rPr>
          <w:rFonts w:ascii="Arial" w:hAnsi="Arial" w:cs="Arial"/>
          <w:sz w:val="20"/>
          <w:szCs w:val="20"/>
        </w:rPr>
        <w:t xml:space="preserve"> ticket, pertanto la locuzione riportata sull’apposito modulo di richiesta ticket deve intendersi non applicabile ai dipendenti di cui si parla. Resta intesa la sospensione dei ticket per i periodi di orario continuato. 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Considerate le finalità con cui son</w:t>
      </w:r>
      <w:r>
        <w:rPr>
          <w:rFonts w:ascii="Arial" w:hAnsi="Arial" w:cs="Arial"/>
          <w:sz w:val="20"/>
          <w:szCs w:val="20"/>
        </w:rPr>
        <w:t>o state introdotte queste nuove agevolazioni nello svolgimento dell’orario di lavoro del personale assunto a tempo indeterminato con orario a tempo pieno, articolato su cinque giorni con pausa di 45 minuti, la flessibilità è incompatibile con il lavoro str</w:t>
      </w:r>
      <w:r>
        <w:rPr>
          <w:rFonts w:ascii="Arial" w:hAnsi="Arial" w:cs="Arial"/>
          <w:sz w:val="20"/>
          <w:szCs w:val="20"/>
        </w:rPr>
        <w:t>aordinario, fatte salve le ore finalizzate al recupero della flessibilità o al riposo compensativo.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Per presentare domanda o per eventuali informazioni, il personale potrà rivolgersi alla Divisione Stipendi - Uff. Amministrazione non Docenti - Sezione Rile</w:t>
      </w:r>
      <w:r>
        <w:rPr>
          <w:rFonts w:ascii="Arial" w:hAnsi="Arial" w:cs="Arial"/>
          <w:sz w:val="20"/>
          <w:szCs w:val="20"/>
        </w:rPr>
        <w:t>vazione Orari (tel. 3273 - 3300 - 3314 - 3313 - 3271 - 3298).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La presente circolare potrà essere consultata alla pagina Internet:</w:t>
      </w:r>
    </w:p>
    <w:p w:rsidR="00000000" w:rsidRDefault="00693FBF">
      <w:pPr>
        <w:pStyle w:val="NormaleWeb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>Distinti saluti.</w:t>
      </w:r>
    </w:p>
    <w:p w:rsidR="00000000" w:rsidRDefault="00693FBF">
      <w:pPr>
        <w:pStyle w:val="NormaleWeb"/>
        <w:rPr>
          <w:rFonts w:cs="Times New Roman"/>
        </w:rPr>
      </w:pPr>
      <w:r>
        <w:t> 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9139"/>
      </w:tblGrid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693FBF">
            <w:pPr>
              <w:rPr>
                <w:rFonts w:ascii="Arial Unicode MS" w:eastAsia="Times New Roman" w:hAnsi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693FBF">
            <w:pPr>
              <w:rPr>
                <w:rFonts w:ascii="Arial Unicode MS" w:eastAsia="Times New Roman" w:hAnsi="Arial Unicode MS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693FBF">
            <w:pPr>
              <w:rPr>
                <w:rFonts w:ascii="Arial Unicode MS" w:eastAsia="Times New Roman" w:hAnsi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000" w:rsidRDefault="00693FBF">
            <w:pPr>
              <w:pStyle w:val="NormaleWeb"/>
              <w:jc w:val="right"/>
              <w:rPr>
                <w:rFonts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IL DIRETTORE AMMINISTRATIVO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00000" w:rsidRDefault="00693FBF"/>
    <w:sectPr w:rsidR="00000000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F"/>
    <w:rsid w:val="006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CB89F-2E86-4CD6-A131-8DD9EE7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19</vt:lpstr>
    </vt:vector>
  </TitlesOfParts>
  <Company>unimi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19</dc:title>
  <dc:subject/>
  <dc:creator>PaquolaG</dc:creator>
  <cp:keywords/>
  <dc:description/>
  <cp:lastModifiedBy>VERCESI SILVIA</cp:lastModifiedBy>
  <cp:revision>2</cp:revision>
  <dcterms:created xsi:type="dcterms:W3CDTF">2018-11-19T13:27:00Z</dcterms:created>
  <dcterms:modified xsi:type="dcterms:W3CDTF">2018-11-19T13:27:00Z</dcterms:modified>
</cp:coreProperties>
</file>